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745E2" w14:textId="3FE47822" w:rsidR="0082214D" w:rsidRPr="00D64CC3" w:rsidRDefault="0082214D" w:rsidP="0082214D">
      <w:pPr>
        <w:pStyle w:val="BodyText"/>
        <w:jc w:val="center"/>
        <w:rPr>
          <w:b/>
          <w:lang w:eastAsia="en-GB"/>
        </w:rPr>
      </w:pPr>
      <w:r w:rsidRPr="00D64CC3">
        <w:rPr>
          <w:b/>
          <w:bCs/>
          <w:i/>
          <w:iCs/>
          <w:color w:val="000000"/>
          <w:lang w:eastAsia="en-GB"/>
        </w:rPr>
        <w:t xml:space="preserve">Pro Forma </w:t>
      </w:r>
      <w:r w:rsidRPr="00D64CC3">
        <w:rPr>
          <w:b/>
          <w:bCs/>
          <w:color w:val="000000"/>
          <w:lang w:eastAsia="en-GB"/>
        </w:rPr>
        <w:t xml:space="preserve">Legal Opinion for </w:t>
      </w:r>
      <w:r>
        <w:rPr>
          <w:b/>
          <w:bCs/>
          <w:color w:val="000000"/>
          <w:lang w:eastAsia="en-GB"/>
        </w:rPr>
        <w:t>SMF, FLS</w:t>
      </w:r>
      <w:r w:rsidR="007F7C59">
        <w:rPr>
          <w:b/>
          <w:bCs/>
          <w:color w:val="000000"/>
          <w:lang w:eastAsia="en-GB"/>
        </w:rPr>
        <w:t>,</w:t>
      </w:r>
      <w:r w:rsidR="00942329">
        <w:rPr>
          <w:b/>
          <w:bCs/>
          <w:color w:val="000000"/>
          <w:lang w:eastAsia="en-GB"/>
        </w:rPr>
        <w:t xml:space="preserve"> </w:t>
      </w:r>
      <w:r>
        <w:rPr>
          <w:b/>
          <w:bCs/>
          <w:color w:val="000000"/>
          <w:lang w:eastAsia="en-GB"/>
        </w:rPr>
        <w:t>TFS</w:t>
      </w:r>
      <w:r w:rsidR="003F3103">
        <w:rPr>
          <w:b/>
          <w:bCs/>
          <w:color w:val="000000"/>
          <w:lang w:eastAsia="en-GB"/>
        </w:rPr>
        <w:t xml:space="preserve"> and TFSME</w:t>
      </w:r>
      <w:r>
        <w:rPr>
          <w:b/>
          <w:bCs/>
          <w:color w:val="000000"/>
          <w:lang w:eastAsia="en-GB"/>
        </w:rPr>
        <w:t xml:space="preserve"> </w:t>
      </w:r>
      <w:r w:rsidRPr="00D64CC3">
        <w:rPr>
          <w:b/>
          <w:bCs/>
          <w:color w:val="000000"/>
          <w:lang w:eastAsia="en-GB"/>
        </w:rPr>
        <w:t>Loan Portfolio Transactions</w:t>
      </w:r>
      <w:r w:rsidRPr="00D64CC3">
        <w:rPr>
          <w:b/>
          <w:bCs/>
          <w:color w:val="000000"/>
          <w:lang w:eastAsia="en-GB"/>
        </w:rPr>
        <w:br/>
      </w:r>
      <w:r w:rsidRPr="00D64CC3">
        <w:rPr>
          <w:b/>
          <w:lang w:eastAsia="en-GB"/>
        </w:rPr>
        <w:t>[For transfer of loans by way of assignment, declaration of trust]</w:t>
      </w:r>
    </w:p>
    <w:p w14:paraId="0DC0C80B" w14:textId="77777777" w:rsidR="0082214D" w:rsidRPr="00D64CC3" w:rsidRDefault="0082214D" w:rsidP="0082214D">
      <w:pPr>
        <w:pStyle w:val="BodyText"/>
        <w:jc w:val="center"/>
        <w:rPr>
          <w:b/>
          <w:lang w:eastAsia="en-GB"/>
        </w:rPr>
      </w:pPr>
      <w:r w:rsidRPr="00D64CC3">
        <w:rPr>
          <w:b/>
          <w:lang w:eastAsia="en-GB"/>
        </w:rPr>
        <w:t>[</w:t>
      </w:r>
      <w:r>
        <w:rPr>
          <w:b/>
          <w:lang w:eastAsia="en-GB"/>
        </w:rPr>
        <w:t xml:space="preserve">SCOTS </w:t>
      </w:r>
      <w:r w:rsidRPr="00D64CC3">
        <w:rPr>
          <w:b/>
          <w:lang w:eastAsia="en-GB"/>
        </w:rPr>
        <w:t>L</w:t>
      </w:r>
      <w:r>
        <w:rPr>
          <w:b/>
          <w:lang w:eastAsia="en-GB"/>
        </w:rPr>
        <w:t>AW</w:t>
      </w:r>
      <w:r w:rsidRPr="00D64CC3">
        <w:rPr>
          <w:b/>
          <w:lang w:eastAsia="en-GB"/>
        </w:rPr>
        <w:t xml:space="preserve"> OPINION]</w:t>
      </w:r>
    </w:p>
    <w:p w14:paraId="37C718C6" w14:textId="77777777" w:rsidR="0082214D" w:rsidRPr="00D64CC3" w:rsidRDefault="0082214D" w:rsidP="0082214D">
      <w:pPr>
        <w:pStyle w:val="BodyText"/>
        <w:jc w:val="center"/>
        <w:rPr>
          <w:b/>
          <w:bCs/>
          <w:color w:val="000000"/>
          <w:lang w:eastAsia="en-GB"/>
        </w:rPr>
      </w:pPr>
      <w:r w:rsidRPr="00D64CC3">
        <w:rPr>
          <w:b/>
          <w:bCs/>
          <w:color w:val="000000"/>
          <w:lang w:eastAsia="en-GB"/>
        </w:rPr>
        <w:t>[Notepaper of External Legal</w:t>
      </w:r>
      <w:r>
        <w:rPr>
          <w:b/>
          <w:bCs/>
          <w:color w:val="000000"/>
          <w:lang w:eastAsia="en-GB"/>
        </w:rPr>
        <w:t xml:space="preserve"> </w:t>
      </w:r>
      <w:r w:rsidRPr="00D64CC3">
        <w:rPr>
          <w:b/>
          <w:bCs/>
          <w:color w:val="000000"/>
          <w:lang w:eastAsia="en-GB"/>
        </w:rPr>
        <w:t>Counsel]</w:t>
      </w:r>
    </w:p>
    <w:p w14:paraId="6C0E4868" w14:textId="77777777" w:rsidR="0082214D" w:rsidRPr="00D64CC3" w:rsidRDefault="0082214D" w:rsidP="0082214D">
      <w:pPr>
        <w:pStyle w:val="BodyText"/>
        <w:rPr>
          <w:b/>
          <w:bCs/>
          <w:color w:val="000000"/>
          <w:lang w:eastAsia="en-GB"/>
        </w:rPr>
      </w:pPr>
      <w:r w:rsidRPr="00D64CC3">
        <w:rPr>
          <w:b/>
          <w:bCs/>
          <w:color w:val="000000"/>
          <w:lang w:eastAsia="en-GB"/>
        </w:rPr>
        <w:t>Private &amp; Confidential</w:t>
      </w:r>
    </w:p>
    <w:p w14:paraId="7AFCADDF" w14:textId="77777777" w:rsidR="0082214D" w:rsidRPr="00D64CC3" w:rsidRDefault="0082214D" w:rsidP="008B4F12">
      <w:pPr>
        <w:pStyle w:val="BodyText"/>
        <w:ind w:left="720" w:hanging="720"/>
        <w:jc w:val="left"/>
        <w:rPr>
          <w:color w:val="000000"/>
          <w:lang w:eastAsia="en-GB"/>
        </w:rPr>
      </w:pPr>
      <w:r w:rsidRPr="00D64CC3">
        <w:rPr>
          <w:lang w:eastAsia="en-GB"/>
        </w:rPr>
        <w:t xml:space="preserve">To: </w:t>
      </w:r>
      <w:r>
        <w:rPr>
          <w:lang w:eastAsia="en-GB"/>
        </w:rPr>
        <w:tab/>
      </w:r>
      <w:r w:rsidRPr="00D64CC3">
        <w:rPr>
          <w:lang w:eastAsia="en-GB"/>
        </w:rPr>
        <w:t>The Governor and Company of the Bank of England (</w:t>
      </w:r>
      <w:r w:rsidRPr="00D64CC3">
        <w:rPr>
          <w:bCs/>
          <w:lang w:eastAsia="en-GB"/>
        </w:rPr>
        <w:t>the</w:t>
      </w:r>
      <w:r w:rsidRPr="00D64CC3">
        <w:rPr>
          <w:b/>
          <w:bCs/>
          <w:lang w:eastAsia="en-GB"/>
        </w:rPr>
        <w:t xml:space="preserve"> </w:t>
      </w:r>
      <w:r w:rsidRPr="00D64CC3">
        <w:rPr>
          <w:b/>
          <w:bCs/>
          <w:i/>
          <w:lang w:eastAsia="en-GB"/>
        </w:rPr>
        <w:t>Bank</w:t>
      </w:r>
      <w:r w:rsidRPr="00D64CC3">
        <w:rPr>
          <w:lang w:eastAsia="en-GB"/>
        </w:rPr>
        <w:t>)</w:t>
      </w:r>
      <w:r w:rsidRPr="00D64CC3">
        <w:rPr>
          <w:lang w:eastAsia="en-GB"/>
        </w:rPr>
        <w:br/>
      </w:r>
      <w:r w:rsidRPr="00D64CC3">
        <w:rPr>
          <w:color w:val="000000"/>
          <w:lang w:eastAsia="en-GB"/>
        </w:rPr>
        <w:t>Threadneedle Street</w:t>
      </w:r>
      <w:r w:rsidRPr="00D64CC3">
        <w:rPr>
          <w:color w:val="000000"/>
          <w:lang w:eastAsia="en-GB"/>
        </w:rPr>
        <w:br/>
        <w:t xml:space="preserve">London </w:t>
      </w:r>
      <w:r w:rsidRPr="00D64CC3">
        <w:rPr>
          <w:color w:val="000000"/>
          <w:lang w:eastAsia="en-GB"/>
        </w:rPr>
        <w:br/>
        <w:t>EC2R 8AH</w:t>
      </w:r>
    </w:p>
    <w:p w14:paraId="4AA73A06" w14:textId="77777777" w:rsidR="0082214D" w:rsidRPr="00D64CC3" w:rsidRDefault="0082214D" w:rsidP="0082214D">
      <w:pPr>
        <w:pStyle w:val="BodyText"/>
        <w:rPr>
          <w:lang w:eastAsia="en-GB"/>
        </w:rPr>
      </w:pPr>
      <w:r w:rsidRPr="00D64CC3">
        <w:rPr>
          <w:lang w:eastAsia="en-GB"/>
        </w:rPr>
        <w:t>[Date]</w:t>
      </w:r>
    </w:p>
    <w:p w14:paraId="0C69D552" w14:textId="6F5ADD0B" w:rsidR="0082214D" w:rsidRPr="00D64CC3" w:rsidRDefault="0082214D" w:rsidP="0082214D">
      <w:pPr>
        <w:pStyle w:val="BodyText"/>
        <w:rPr>
          <w:lang w:eastAsia="en-GB"/>
        </w:rPr>
      </w:pPr>
      <w:r w:rsidRPr="00D64CC3">
        <w:rPr>
          <w:lang w:eastAsia="en-GB"/>
        </w:rPr>
        <w:t>Dear Sir</w:t>
      </w:r>
      <w:r w:rsidR="00942329">
        <w:rPr>
          <w:lang w:eastAsia="en-GB"/>
        </w:rPr>
        <w:t xml:space="preserve"> or Madam</w:t>
      </w:r>
      <w:r w:rsidRPr="00D64CC3">
        <w:rPr>
          <w:lang w:eastAsia="en-GB"/>
        </w:rPr>
        <w:t>,</w:t>
      </w:r>
    </w:p>
    <w:p w14:paraId="532955CC" w14:textId="78ECB211" w:rsidR="0082214D" w:rsidRPr="00D64CC3" w:rsidRDefault="0082214D" w:rsidP="0082214D">
      <w:pPr>
        <w:pStyle w:val="ParaHeading"/>
        <w:rPr>
          <w:lang w:eastAsia="en-GB"/>
        </w:rPr>
      </w:pPr>
      <w:r>
        <w:rPr>
          <w:lang w:eastAsia="en-GB"/>
        </w:rPr>
        <w:t>STERLING MONETARY FRAMEWORK, FUNDING FOR LENDING SCHEME</w:t>
      </w:r>
      <w:r w:rsidR="003F3103">
        <w:rPr>
          <w:lang w:eastAsia="en-GB"/>
        </w:rPr>
        <w:t>,</w:t>
      </w:r>
      <w:r>
        <w:rPr>
          <w:lang w:eastAsia="en-GB"/>
        </w:rPr>
        <w:t xml:space="preserve"> TERM FUNDING SCHEME</w:t>
      </w:r>
      <w:r w:rsidR="003F3103">
        <w:rPr>
          <w:lang w:eastAsia="en-GB"/>
        </w:rPr>
        <w:t xml:space="preserve"> AND TERM FUNDING SCHEME WITH ADDITIONAL INCENTIVES FOR SMALL AND MEDIUM</w:t>
      </w:r>
      <w:r w:rsidR="009A288A">
        <w:rPr>
          <w:lang w:eastAsia="en-GB"/>
        </w:rPr>
        <w:t>-</w:t>
      </w:r>
      <w:r w:rsidR="003F3103">
        <w:rPr>
          <w:lang w:eastAsia="en-GB"/>
        </w:rPr>
        <w:t xml:space="preserve">SIZED ENTERPRISES </w:t>
      </w:r>
    </w:p>
    <w:p w14:paraId="73CD56FC" w14:textId="77777777" w:rsidR="0082214D" w:rsidRPr="00D64CC3" w:rsidRDefault="0082214D" w:rsidP="0082214D">
      <w:pPr>
        <w:pStyle w:val="BodyText"/>
        <w:rPr>
          <w:b/>
          <w:bCs/>
          <w:lang w:eastAsia="en-GB"/>
        </w:rPr>
      </w:pPr>
      <w:r w:rsidRPr="00D64CC3">
        <w:rPr>
          <w:lang w:eastAsia="en-GB"/>
        </w:rPr>
        <w:t xml:space="preserve">[name of the Participant] </w:t>
      </w:r>
      <w:r w:rsidRPr="00D64CC3">
        <w:rPr>
          <w:bCs/>
          <w:lang w:eastAsia="en-GB"/>
        </w:rPr>
        <w:t xml:space="preserve">(the </w:t>
      </w:r>
      <w:r w:rsidRPr="00D64CC3">
        <w:rPr>
          <w:b/>
          <w:bCs/>
          <w:i/>
          <w:lang w:eastAsia="en-GB"/>
        </w:rPr>
        <w:t>Participant</w:t>
      </w:r>
      <w:r w:rsidRPr="00D64CC3">
        <w:rPr>
          <w:bCs/>
          <w:lang w:eastAsia="en-GB"/>
        </w:rPr>
        <w:t>)</w:t>
      </w:r>
    </w:p>
    <w:p w14:paraId="278F069F" w14:textId="77777777" w:rsidR="0082214D" w:rsidRDefault="0082214D" w:rsidP="0082214D">
      <w:pPr>
        <w:pStyle w:val="BodyText"/>
        <w:rPr>
          <w:color w:val="000000"/>
          <w:lang w:eastAsia="en-GB"/>
        </w:rPr>
      </w:pPr>
      <w:r w:rsidRPr="00D64CC3">
        <w:rPr>
          <w:lang w:eastAsia="en-GB"/>
        </w:rPr>
        <w:t xml:space="preserve">As external legal counsel for the Participant in </w:t>
      </w:r>
      <w:r>
        <w:rPr>
          <w:lang w:eastAsia="en-GB"/>
        </w:rPr>
        <w:t>Scotland</w:t>
      </w:r>
      <w:r w:rsidRPr="00D64CC3">
        <w:rPr>
          <w:rStyle w:val="FootnoteReference"/>
          <w:lang w:eastAsia="en-GB"/>
        </w:rPr>
        <w:footnoteReference w:id="1"/>
      </w:r>
      <w:r w:rsidRPr="00D64CC3">
        <w:rPr>
          <w:lang w:eastAsia="en-GB"/>
        </w:rPr>
        <w:t>, we refer to the participation of the Participant in certain of the facilities comprised within the Bank’s Sterling Monetary Framework</w:t>
      </w:r>
      <w:r>
        <w:rPr>
          <w:lang w:eastAsia="en-GB"/>
        </w:rPr>
        <w:t xml:space="preserve"> (</w:t>
      </w:r>
      <w:r>
        <w:rPr>
          <w:b/>
          <w:i/>
          <w:lang w:eastAsia="en-GB"/>
        </w:rPr>
        <w:t>SMF</w:t>
      </w:r>
      <w:r>
        <w:rPr>
          <w:lang w:eastAsia="en-GB"/>
        </w:rPr>
        <w:t>)</w:t>
      </w:r>
      <w:r w:rsidRPr="00D64CC3">
        <w:rPr>
          <w:lang w:eastAsia="en-GB"/>
        </w:rPr>
        <w:t xml:space="preserve">, and the </w:t>
      </w:r>
      <w:r>
        <w:rPr>
          <w:lang w:eastAsia="en-GB"/>
        </w:rPr>
        <w:t>t</w:t>
      </w:r>
      <w:r w:rsidRPr="00D64CC3">
        <w:rPr>
          <w:lang w:eastAsia="en-GB"/>
        </w:rPr>
        <w:t xml:space="preserve">erms and </w:t>
      </w:r>
      <w:r>
        <w:rPr>
          <w:lang w:eastAsia="en-GB"/>
        </w:rPr>
        <w:t>c</w:t>
      </w:r>
      <w:r w:rsidRPr="00D64CC3">
        <w:rPr>
          <w:lang w:eastAsia="en-GB"/>
        </w:rPr>
        <w:t xml:space="preserve">onditions relating thereto </w:t>
      </w:r>
      <w:r w:rsidRPr="00D64CC3">
        <w:rPr>
          <w:color w:val="000000"/>
          <w:lang w:eastAsia="en-GB"/>
        </w:rPr>
        <w:t xml:space="preserve">as published by the Bank on its website at </w:t>
      </w:r>
      <w:hyperlink r:id="rId12" w:history="1">
        <w:r w:rsidRPr="003972F7">
          <w:rPr>
            <w:rStyle w:val="Hyperlink"/>
            <w:lang w:eastAsia="en-GB"/>
          </w:rPr>
          <w:t>www.bankofengland.co.uk</w:t>
        </w:r>
      </w:hyperlink>
      <w:r w:rsidRPr="0082214D">
        <w:rPr>
          <w:u w:val="single"/>
          <w:lang w:eastAsia="en-GB"/>
        </w:rPr>
        <w:t xml:space="preserve"> </w:t>
      </w:r>
      <w:r w:rsidRPr="002959CA">
        <w:rPr>
          <w:lang w:eastAsia="en-GB"/>
        </w:rPr>
        <w:t xml:space="preserve">(the </w:t>
      </w:r>
      <w:r w:rsidRPr="002959CA">
        <w:rPr>
          <w:b/>
          <w:i/>
          <w:lang w:eastAsia="en-GB"/>
        </w:rPr>
        <w:t>SMF Terms and Conditions</w:t>
      </w:r>
      <w:r w:rsidRPr="002959CA">
        <w:rPr>
          <w:lang w:eastAsia="en-GB"/>
        </w:rPr>
        <w:t>).</w:t>
      </w:r>
    </w:p>
    <w:p w14:paraId="34FDCC04" w14:textId="77777777" w:rsidR="0082214D" w:rsidRDefault="0082214D" w:rsidP="0082214D">
      <w:pPr>
        <w:pStyle w:val="BodyText"/>
        <w:rPr>
          <w:color w:val="000000"/>
          <w:lang w:eastAsia="en-GB"/>
        </w:rPr>
      </w:pPr>
      <w:r>
        <w:rPr>
          <w:color w:val="000000"/>
          <w:lang w:eastAsia="en-GB"/>
        </w:rPr>
        <w:t>As external legal counsel for the Participant in Scotland, we refer to the participation of the Participant in the Bank’s Funding for Lending Scheme (</w:t>
      </w:r>
      <w:r w:rsidRPr="00187395">
        <w:rPr>
          <w:b/>
          <w:i/>
          <w:color w:val="000000"/>
          <w:lang w:eastAsia="en-GB"/>
        </w:rPr>
        <w:t>FLS</w:t>
      </w:r>
      <w:r>
        <w:rPr>
          <w:color w:val="000000"/>
          <w:lang w:eastAsia="en-GB"/>
        </w:rPr>
        <w:t xml:space="preserve">) and the terms and conditions relating thereto as published by the Bank on its website at </w:t>
      </w:r>
      <w:hyperlink r:id="rId13" w:history="1">
        <w:r>
          <w:rPr>
            <w:rStyle w:val="Hyperlink"/>
            <w:lang w:eastAsia="en-GB"/>
          </w:rPr>
          <w:t>www.bankofengland.co.uk</w:t>
        </w:r>
      </w:hyperlink>
      <w:r>
        <w:rPr>
          <w:color w:val="000000"/>
          <w:lang w:eastAsia="en-GB"/>
        </w:rPr>
        <w:t xml:space="preserve"> </w:t>
      </w:r>
      <w:r>
        <w:t xml:space="preserve">(the </w:t>
      </w:r>
      <w:r>
        <w:rPr>
          <w:b/>
          <w:i/>
        </w:rPr>
        <w:t>FLS Terms and Conditions</w:t>
      </w:r>
      <w:r>
        <w:t>)</w:t>
      </w:r>
      <w:r>
        <w:rPr>
          <w:color w:val="000000"/>
          <w:lang w:eastAsia="en-GB"/>
        </w:rPr>
        <w:t>.</w:t>
      </w:r>
    </w:p>
    <w:p w14:paraId="07888F85" w14:textId="2BA88989" w:rsidR="0082214D" w:rsidRDefault="0082214D" w:rsidP="0082214D">
      <w:pPr>
        <w:pStyle w:val="BodyText"/>
        <w:rPr>
          <w:color w:val="000000"/>
          <w:lang w:eastAsia="en-GB"/>
        </w:rPr>
      </w:pPr>
      <w:r>
        <w:rPr>
          <w:color w:val="000000"/>
          <w:lang w:eastAsia="en-GB"/>
        </w:rPr>
        <w:lastRenderedPageBreak/>
        <w:t>As external legal counsel for the Participant in Scotland, we refer to the participation of the Participant in the Bank’s Term Funding Scheme (</w:t>
      </w:r>
      <w:r>
        <w:rPr>
          <w:b/>
          <w:i/>
          <w:color w:val="000000"/>
          <w:lang w:eastAsia="en-GB"/>
        </w:rPr>
        <w:t>TF</w:t>
      </w:r>
      <w:r w:rsidRPr="00187395">
        <w:rPr>
          <w:b/>
          <w:i/>
          <w:color w:val="000000"/>
          <w:lang w:eastAsia="en-GB"/>
        </w:rPr>
        <w:t>S</w:t>
      </w:r>
      <w:r>
        <w:rPr>
          <w:color w:val="000000"/>
          <w:lang w:eastAsia="en-GB"/>
        </w:rPr>
        <w:t xml:space="preserve">) and the terms and conditions relating thereto as published by the Bank on its website at </w:t>
      </w:r>
      <w:hyperlink r:id="rId14" w:history="1">
        <w:r>
          <w:rPr>
            <w:rStyle w:val="Hyperlink"/>
            <w:lang w:eastAsia="en-GB"/>
          </w:rPr>
          <w:t>www.bankofengland.co.uk</w:t>
        </w:r>
      </w:hyperlink>
      <w:r>
        <w:rPr>
          <w:color w:val="000000"/>
          <w:lang w:eastAsia="en-GB"/>
        </w:rPr>
        <w:t xml:space="preserve"> </w:t>
      </w:r>
      <w:r>
        <w:t xml:space="preserve">(the </w:t>
      </w:r>
      <w:r w:rsidRPr="003972F7">
        <w:rPr>
          <w:b/>
          <w:i/>
        </w:rPr>
        <w:t>T</w:t>
      </w:r>
      <w:r>
        <w:rPr>
          <w:b/>
          <w:i/>
        </w:rPr>
        <w:t>FS Terms and Conditions</w:t>
      </w:r>
      <w:r>
        <w:t>)</w:t>
      </w:r>
      <w:r>
        <w:rPr>
          <w:color w:val="000000"/>
          <w:lang w:eastAsia="en-GB"/>
        </w:rPr>
        <w:t>.</w:t>
      </w:r>
    </w:p>
    <w:p w14:paraId="1CF6A188" w14:textId="77777777" w:rsidR="003F3103" w:rsidRPr="00942329" w:rsidRDefault="003F3103" w:rsidP="0082214D">
      <w:pPr>
        <w:pStyle w:val="BodyText"/>
        <w:rPr>
          <w:color w:val="0000FF"/>
          <w:u w:val="single"/>
          <w:lang w:eastAsia="en-GB"/>
        </w:rPr>
      </w:pPr>
      <w:r>
        <w:rPr>
          <w:color w:val="000000"/>
          <w:lang w:eastAsia="en-GB"/>
        </w:rPr>
        <w:t>As external legal counsel for the Participant in Scotland, we refer to the participation of the Participant in the Bank’s Term Funding Scheme with incentives for Small and Medium</w:t>
      </w:r>
      <w:r w:rsidR="009A288A">
        <w:rPr>
          <w:color w:val="000000"/>
          <w:lang w:eastAsia="en-GB"/>
        </w:rPr>
        <w:t>-sized</w:t>
      </w:r>
      <w:r>
        <w:rPr>
          <w:color w:val="000000"/>
          <w:lang w:eastAsia="en-GB"/>
        </w:rPr>
        <w:t xml:space="preserve"> </w:t>
      </w:r>
      <w:r w:rsidR="009A288A">
        <w:rPr>
          <w:color w:val="000000"/>
          <w:lang w:eastAsia="en-GB"/>
        </w:rPr>
        <w:t>e</w:t>
      </w:r>
      <w:r>
        <w:rPr>
          <w:color w:val="000000"/>
          <w:lang w:eastAsia="en-GB"/>
        </w:rPr>
        <w:t>nterprises (</w:t>
      </w:r>
      <w:r w:rsidRPr="00942329">
        <w:rPr>
          <w:b/>
          <w:i/>
          <w:color w:val="000000"/>
          <w:lang w:eastAsia="en-GB"/>
        </w:rPr>
        <w:t>TFSME</w:t>
      </w:r>
      <w:r>
        <w:rPr>
          <w:color w:val="000000"/>
          <w:lang w:eastAsia="en-GB"/>
        </w:rPr>
        <w:t xml:space="preserve"> and, together with the SMF, </w:t>
      </w:r>
      <w:r w:rsidR="00152F39">
        <w:rPr>
          <w:color w:val="000000"/>
          <w:lang w:eastAsia="en-GB"/>
        </w:rPr>
        <w:t xml:space="preserve">the </w:t>
      </w:r>
      <w:r>
        <w:rPr>
          <w:color w:val="000000"/>
          <w:lang w:eastAsia="en-GB"/>
        </w:rPr>
        <w:t xml:space="preserve">FLS and </w:t>
      </w:r>
      <w:r w:rsidR="00152F39">
        <w:rPr>
          <w:color w:val="000000"/>
          <w:lang w:eastAsia="en-GB"/>
        </w:rPr>
        <w:t xml:space="preserve">the </w:t>
      </w:r>
      <w:r>
        <w:rPr>
          <w:color w:val="000000"/>
          <w:lang w:eastAsia="en-GB"/>
        </w:rPr>
        <w:t xml:space="preserve">TFS, the </w:t>
      </w:r>
      <w:r w:rsidRPr="00942329">
        <w:rPr>
          <w:b/>
          <w:i/>
          <w:color w:val="000000"/>
          <w:lang w:eastAsia="en-GB"/>
        </w:rPr>
        <w:t>Facilities</w:t>
      </w:r>
      <w:r>
        <w:rPr>
          <w:color w:val="000000"/>
          <w:lang w:eastAsia="en-GB"/>
        </w:rPr>
        <w:t xml:space="preserve"> and each a </w:t>
      </w:r>
      <w:r w:rsidRPr="00942329">
        <w:rPr>
          <w:b/>
          <w:i/>
          <w:color w:val="000000"/>
          <w:lang w:eastAsia="en-GB"/>
        </w:rPr>
        <w:t>Facility</w:t>
      </w:r>
      <w:r>
        <w:rPr>
          <w:color w:val="000000"/>
          <w:lang w:eastAsia="en-GB"/>
        </w:rPr>
        <w:t xml:space="preserve">) and the terms and conditions relating thereto as published by the Bank on its website at </w:t>
      </w:r>
      <w:hyperlink r:id="rId15" w:history="1">
        <w:r>
          <w:rPr>
            <w:rStyle w:val="Hyperlink"/>
            <w:lang w:eastAsia="en-GB"/>
          </w:rPr>
          <w:t>www.bankofengland.co.uk</w:t>
        </w:r>
      </w:hyperlink>
      <w:r>
        <w:rPr>
          <w:color w:val="000000"/>
          <w:lang w:eastAsia="en-GB"/>
        </w:rPr>
        <w:t xml:space="preserve"> </w:t>
      </w:r>
      <w:r>
        <w:t xml:space="preserve">(the </w:t>
      </w:r>
      <w:r w:rsidRPr="003972F7">
        <w:rPr>
          <w:b/>
          <w:i/>
        </w:rPr>
        <w:t>T</w:t>
      </w:r>
      <w:r>
        <w:rPr>
          <w:b/>
          <w:i/>
        </w:rPr>
        <w:t>FS</w:t>
      </w:r>
      <w:r w:rsidR="00152F39">
        <w:rPr>
          <w:b/>
          <w:i/>
        </w:rPr>
        <w:t>ME</w:t>
      </w:r>
      <w:r>
        <w:rPr>
          <w:b/>
          <w:i/>
        </w:rPr>
        <w:t xml:space="preserve"> Terms and Conditions</w:t>
      </w:r>
      <w:r>
        <w:t>)</w:t>
      </w:r>
      <w:r>
        <w:rPr>
          <w:color w:val="000000"/>
          <w:lang w:eastAsia="en-GB"/>
        </w:rPr>
        <w:t>.</w:t>
      </w:r>
    </w:p>
    <w:p w14:paraId="3C9FAB6F" w14:textId="77777777" w:rsidR="0082214D" w:rsidRPr="00D64CC3" w:rsidRDefault="0082214D" w:rsidP="0082214D">
      <w:pPr>
        <w:pStyle w:val="BodyText"/>
      </w:pPr>
      <w:r w:rsidRPr="00D64CC3">
        <w:t xml:space="preserve">The </w:t>
      </w:r>
      <w:r w:rsidRPr="00D64CC3">
        <w:rPr>
          <w:lang w:eastAsia="en-GB"/>
        </w:rPr>
        <w:t>Participant</w:t>
      </w:r>
      <w:r w:rsidRPr="00D64CC3">
        <w:t xml:space="preserve"> wishes to participate in </w:t>
      </w:r>
      <w:r>
        <w:t xml:space="preserve">one or more of </w:t>
      </w:r>
      <w:r w:rsidRPr="00D64CC3">
        <w:t xml:space="preserve">the </w:t>
      </w:r>
      <w:r>
        <w:t>Facilities</w:t>
      </w:r>
      <w:r w:rsidRPr="00D64CC3">
        <w:t xml:space="preserve">.  It proposes to use a portfolio of [mortgage] loans as a form of collateral to enter into transactions under the </w:t>
      </w:r>
      <w:r>
        <w:t>Facilities</w:t>
      </w:r>
      <w:r w:rsidRPr="00D64CC3">
        <w:t xml:space="preserve"> pursuant to the </w:t>
      </w:r>
      <w:r>
        <w:t>relevant T</w:t>
      </w:r>
      <w:r w:rsidRPr="00D64CC3">
        <w:t xml:space="preserve">erms and </w:t>
      </w:r>
      <w:r>
        <w:t>C</w:t>
      </w:r>
      <w:r w:rsidRPr="00D64CC3">
        <w:t xml:space="preserve">onditions of </w:t>
      </w:r>
      <w:r>
        <w:t>each such</w:t>
      </w:r>
      <w:r w:rsidRPr="00D64CC3">
        <w:t xml:space="preserve"> </w:t>
      </w:r>
      <w:r>
        <w:t>F</w:t>
      </w:r>
      <w:r w:rsidRPr="00D64CC3">
        <w:t xml:space="preserve">acility (each, a </w:t>
      </w:r>
      <w:r w:rsidRPr="00D64CC3">
        <w:rPr>
          <w:b/>
          <w:i/>
        </w:rPr>
        <w:t>Loan Transaction</w:t>
      </w:r>
      <w:r w:rsidRPr="00D64CC3">
        <w:t xml:space="preserve">).  The proposed portfolio of [mortgage] loans is listed at Schedule </w:t>
      </w:r>
      <w:r>
        <w:t>[3]</w:t>
      </w:r>
      <w:r w:rsidRPr="00D64CC3">
        <w:t xml:space="preserve"> to </w:t>
      </w:r>
      <w:r>
        <w:t xml:space="preserve">the due diligence report (the </w:t>
      </w:r>
      <w:r w:rsidRPr="00BE7302">
        <w:rPr>
          <w:b/>
          <w:i/>
        </w:rPr>
        <w:t>Due Diligence Report</w:t>
      </w:r>
      <w:r w:rsidR="008B4F12">
        <w:t>) delivered to the Bank</w:t>
      </w:r>
      <w:r>
        <w:t xml:space="preserve"> by us on [</w:t>
      </w:r>
      <w:r>
        <w:sym w:font="Symbol" w:char="F0B7"/>
      </w:r>
      <w:r>
        <w:t>] 20[</w:t>
      </w:r>
      <w:r>
        <w:sym w:font="Symbol" w:char="F0B7"/>
      </w:r>
      <w:r>
        <w:t>]</w:t>
      </w:r>
      <w:r w:rsidRPr="00D64CC3">
        <w:t xml:space="preserve"> (the </w:t>
      </w:r>
      <w:r w:rsidRPr="00D64CC3">
        <w:rPr>
          <w:b/>
          <w:i/>
        </w:rPr>
        <w:t>Proposed Portfolio</w:t>
      </w:r>
      <w:r w:rsidRPr="00D64CC3">
        <w:t xml:space="preserve">).  In this matter we have taken instructions solely from the </w:t>
      </w:r>
      <w:r w:rsidRPr="00D64CC3">
        <w:rPr>
          <w:lang w:eastAsia="en-GB"/>
        </w:rPr>
        <w:t>Participant</w:t>
      </w:r>
      <w:r w:rsidRPr="00D64CC3">
        <w:t xml:space="preserve"> and we have been asked to deliver this opinion to the Bank in connection with the </w:t>
      </w:r>
      <w:r w:rsidRPr="00D64CC3">
        <w:rPr>
          <w:lang w:eastAsia="en-GB"/>
        </w:rPr>
        <w:t>Participant</w:t>
      </w:r>
      <w:r w:rsidRPr="00D64CC3">
        <w:t>’s proposed pre-positioning of the Proposed Portfolio on [insert date].</w:t>
      </w:r>
      <w:r w:rsidR="00F16180">
        <w:rPr>
          <w:rStyle w:val="FootnoteReference"/>
        </w:rPr>
        <w:footnoteReference w:id="2"/>
      </w:r>
    </w:p>
    <w:p w14:paraId="548090AC" w14:textId="77777777" w:rsidR="0082214D" w:rsidRDefault="0082214D" w:rsidP="0082214D">
      <w:pPr>
        <w:pStyle w:val="BodyText"/>
      </w:pPr>
      <w:r>
        <w:t xml:space="preserve">This opinion is confined to matters of </w:t>
      </w:r>
      <w:r>
        <w:rPr>
          <w:color w:val="000000"/>
          <w:lang w:eastAsia="en-GB"/>
        </w:rPr>
        <w:t>Scots</w:t>
      </w:r>
      <w:r>
        <w:t xml:space="preserve"> law as at the date of this opinion.  We express no opinion with regard to any system of law other than the laws of </w:t>
      </w:r>
      <w:r>
        <w:rPr>
          <w:lang w:eastAsia="en-GB"/>
        </w:rPr>
        <w:t>Scotland</w:t>
      </w:r>
      <w:r>
        <w:t xml:space="preserve"> as currently applied by the </w:t>
      </w:r>
      <w:r>
        <w:rPr>
          <w:color w:val="000000"/>
          <w:lang w:eastAsia="en-GB"/>
        </w:rPr>
        <w:t>Scottish</w:t>
      </w:r>
      <w:r>
        <w:t xml:space="preserve"> courts, and in particular, we express no opinion on European Community law as it affects any jurisdiction other than </w:t>
      </w:r>
      <w:r>
        <w:rPr>
          <w:lang w:eastAsia="en-GB"/>
        </w:rPr>
        <w:t>Scotland</w:t>
      </w:r>
      <w:r>
        <w:t>.</w:t>
      </w:r>
    </w:p>
    <w:p w14:paraId="633AFE09" w14:textId="0CD7FDDD" w:rsidR="0082214D" w:rsidRPr="00D64CC3" w:rsidRDefault="0082214D" w:rsidP="0082214D">
      <w:pPr>
        <w:pStyle w:val="BodyText"/>
      </w:pPr>
      <w:r w:rsidRPr="00D64CC3">
        <w:t>Terms defined in the SMF Terms and Condition</w:t>
      </w:r>
      <w:r w:rsidR="00834CAA">
        <w:t>s</w:t>
      </w:r>
      <w:r w:rsidR="00AB4CEE">
        <w:t xml:space="preserve">, </w:t>
      </w:r>
      <w:r>
        <w:t xml:space="preserve">the FLS Terms and Conditions </w:t>
      </w:r>
      <w:r w:rsidR="00AB4CEE">
        <w:t xml:space="preserve">and the TFSME Terms and Conditions </w:t>
      </w:r>
      <w:r>
        <w:t xml:space="preserve">(as amended and supplemented by the [Loan Transaction Annex [(Assignment)]/[(Trust)] entered into between the Participant and the Bank (the </w:t>
      </w:r>
      <w:r>
        <w:rPr>
          <w:b/>
          <w:i/>
        </w:rPr>
        <w:t>SMF/FLS</w:t>
      </w:r>
      <w:r w:rsidR="00490F50">
        <w:rPr>
          <w:b/>
          <w:i/>
        </w:rPr>
        <w:t>/TFSME</w:t>
      </w:r>
      <w:r>
        <w:rPr>
          <w:b/>
          <w:i/>
        </w:rPr>
        <w:t xml:space="preserve"> Annex</w:t>
      </w:r>
      <w:r>
        <w:t>) and any relevant Market Notice) and the TFS Terms and Conditions</w:t>
      </w:r>
      <w:r w:rsidR="00AB4CEE">
        <w:t xml:space="preserve"> </w:t>
      </w:r>
      <w:r>
        <w:t>(</w:t>
      </w:r>
      <w:r w:rsidRPr="00D64CC3">
        <w:t xml:space="preserve">as amended and supplemented by the </w:t>
      </w:r>
      <w:r>
        <w:t xml:space="preserve">Loan Transaction Annex </w:t>
      </w:r>
      <w:r w:rsidRPr="00D64CC3">
        <w:t>[(Assignment)]/[(Trust)]</w:t>
      </w:r>
      <w:r>
        <w:t xml:space="preserve"> entered into between the Participant</w:t>
      </w:r>
      <w:r w:rsidR="008B4F12">
        <w:t xml:space="preserve"> </w:t>
      </w:r>
      <w:r>
        <w:t xml:space="preserve">and the Bank (the </w:t>
      </w:r>
      <w:r>
        <w:rPr>
          <w:b/>
          <w:i/>
        </w:rPr>
        <w:t xml:space="preserve">TFS </w:t>
      </w:r>
      <w:r w:rsidRPr="00065888">
        <w:rPr>
          <w:b/>
          <w:i/>
        </w:rPr>
        <w:t>Annex</w:t>
      </w:r>
      <w:r>
        <w:rPr>
          <w:b/>
          <w:i/>
        </w:rPr>
        <w:t xml:space="preserve"> </w:t>
      </w:r>
      <w:r>
        <w:t>and, together with the SMF/FLS</w:t>
      </w:r>
      <w:r w:rsidR="00982FF5">
        <w:t>/TFSME</w:t>
      </w:r>
      <w:r>
        <w:t xml:space="preserve"> Annex the </w:t>
      </w:r>
      <w:r>
        <w:rPr>
          <w:b/>
          <w:i/>
        </w:rPr>
        <w:t>Annexes</w:t>
      </w:r>
      <w:r>
        <w:t xml:space="preserve"> and each an </w:t>
      </w:r>
      <w:r w:rsidRPr="002D63FB">
        <w:rPr>
          <w:b/>
          <w:i/>
        </w:rPr>
        <w:t>Annex</w:t>
      </w:r>
      <w:r>
        <w:t>)</w:t>
      </w:r>
      <w:r w:rsidRPr="00D64CC3">
        <w:t xml:space="preserve"> and any relevant Market Notice) (</w:t>
      </w:r>
      <w:r>
        <w:t xml:space="preserve">together, </w:t>
      </w:r>
      <w:r w:rsidRPr="00D64CC3">
        <w:t xml:space="preserve">the </w:t>
      </w:r>
      <w:r w:rsidRPr="00D64CC3">
        <w:rPr>
          <w:b/>
          <w:i/>
        </w:rPr>
        <w:t>Terms and Conditions</w:t>
      </w:r>
      <w:r w:rsidRPr="00D64CC3">
        <w:t>) have the same meaning where used in this opinion, unless defined herein or as the context otherwise requires.</w:t>
      </w:r>
      <w:bookmarkStart w:id="0" w:name="_Hlk36643959"/>
      <w:r w:rsidR="00F16180">
        <w:rPr>
          <w:rStyle w:val="FootnoteReference"/>
        </w:rPr>
        <w:footnoteReference w:id="3"/>
      </w:r>
      <w:bookmarkEnd w:id="0"/>
    </w:p>
    <w:p w14:paraId="69307A28" w14:textId="77777777" w:rsidR="0082214D" w:rsidRPr="00D64CC3" w:rsidRDefault="0082214D" w:rsidP="0082214D">
      <w:pPr>
        <w:pStyle w:val="ParaHeading"/>
      </w:pPr>
      <w:r w:rsidRPr="00D64CC3">
        <w:t>DOCUMENTS REVIEWED</w:t>
      </w:r>
    </w:p>
    <w:p w14:paraId="03CB370A" w14:textId="77777777" w:rsidR="0082214D" w:rsidRPr="00D64CC3" w:rsidRDefault="0082214D" w:rsidP="0082214D">
      <w:pPr>
        <w:pStyle w:val="BodyText"/>
      </w:pPr>
      <w:r w:rsidRPr="00D64CC3">
        <w:t xml:space="preserve">For the purposes of this opinion we have examined the documents listed in Schedule 3. [As part of our legal due diligence, we have also reviewed </w:t>
      </w:r>
      <w:r>
        <w:t>the</w:t>
      </w:r>
      <w:r w:rsidRPr="00D64CC3">
        <w:t xml:space="preserve"> standard loan documentation </w:t>
      </w:r>
      <w:r>
        <w:t xml:space="preserve">governed by Scots law relating to the [Mortgage] Loans listed at Schedule 1 to the Due Diligence Report </w:t>
      </w:r>
      <w:r w:rsidRPr="00D64CC3">
        <w:t xml:space="preserve">(the </w:t>
      </w:r>
      <w:r w:rsidRPr="00D64CC3">
        <w:rPr>
          <w:b/>
          <w:i/>
        </w:rPr>
        <w:t>Standard Loan Documentation</w:t>
      </w:r>
      <w:r w:rsidRPr="00D64CC3">
        <w:t>).]</w:t>
      </w:r>
      <w:r w:rsidRPr="00D64CC3">
        <w:rPr>
          <w:rStyle w:val="FootnoteReference"/>
        </w:rPr>
        <w:footnoteReference w:id="4"/>
      </w:r>
    </w:p>
    <w:p w14:paraId="260B1A54" w14:textId="77777777" w:rsidR="0082214D" w:rsidRPr="00D64CC3" w:rsidRDefault="0082214D" w:rsidP="0082214D">
      <w:pPr>
        <w:pStyle w:val="ParaHeading"/>
      </w:pPr>
      <w:r w:rsidRPr="00D64CC3">
        <w:t>OPINION</w:t>
      </w:r>
    </w:p>
    <w:p w14:paraId="12FDDBFD" w14:textId="77777777" w:rsidR="0082214D" w:rsidRPr="00D64CC3" w:rsidRDefault="0082214D" w:rsidP="0082214D">
      <w:pPr>
        <w:pStyle w:val="BodyText"/>
        <w:rPr>
          <w:color w:val="000000"/>
          <w:lang w:eastAsia="en-GB"/>
        </w:rPr>
      </w:pPr>
      <w:r w:rsidRPr="00D64CC3">
        <w:rPr>
          <w:lang w:eastAsia="en-GB"/>
        </w:rPr>
        <w:t>Having considered the documents listed in Schedule 3 and [the Standard Loan Documentation and]</w:t>
      </w:r>
      <w:r w:rsidRPr="00D64CC3">
        <w:rPr>
          <w:rStyle w:val="FootnoteReference"/>
          <w:lang w:eastAsia="en-GB"/>
        </w:rPr>
        <w:footnoteReference w:id="5"/>
      </w:r>
      <w:r w:rsidRPr="00D64CC3">
        <w:rPr>
          <w:lang w:eastAsia="en-GB"/>
        </w:rPr>
        <w:t xml:space="preserve"> having regard to all applicable laws of </w:t>
      </w:r>
      <w:r>
        <w:rPr>
          <w:lang w:eastAsia="en-GB"/>
        </w:rPr>
        <w:t>Scotland</w:t>
      </w:r>
      <w:r w:rsidRPr="00D64CC3">
        <w:rPr>
          <w:lang w:eastAsia="en-GB"/>
        </w:rPr>
        <w:t>, we are pleased to advise that</w:t>
      </w:r>
      <w:r>
        <w:rPr>
          <w:lang w:eastAsia="en-GB"/>
        </w:rPr>
        <w:t xml:space="preserve"> based on the assumptions in Schedule 1 and subject to the qualifications in Schedule 2,</w:t>
      </w:r>
      <w:r w:rsidRPr="00D64CC3">
        <w:rPr>
          <w:lang w:eastAsia="en-GB"/>
        </w:rPr>
        <w:t xml:space="preserve"> in our </w:t>
      </w:r>
      <w:r w:rsidRPr="00D64CC3">
        <w:rPr>
          <w:color w:val="000000"/>
          <w:lang w:eastAsia="en-GB"/>
        </w:rPr>
        <w:t>opinion:</w:t>
      </w:r>
    </w:p>
    <w:p w14:paraId="2FED39B9" w14:textId="77777777" w:rsidR="0082214D" w:rsidRPr="00D64CC3" w:rsidRDefault="0082214D" w:rsidP="0082214D">
      <w:pPr>
        <w:pStyle w:val="ParaHeading"/>
        <w:rPr>
          <w:lang w:eastAsia="en-GB"/>
        </w:rPr>
      </w:pPr>
      <w:r w:rsidRPr="00D64CC3">
        <w:rPr>
          <w:lang w:eastAsia="en-GB"/>
        </w:rPr>
        <w:t>[Capacity, Power and Authority</w:t>
      </w:r>
    </w:p>
    <w:p w14:paraId="3ACC4C9E" w14:textId="77777777" w:rsidR="0082214D" w:rsidRPr="00D64CC3" w:rsidRDefault="0082214D" w:rsidP="0082214D">
      <w:pPr>
        <w:pStyle w:val="FWBL3"/>
        <w:rPr>
          <w:color w:val="000000"/>
          <w:lang w:eastAsia="en-GB"/>
        </w:rPr>
      </w:pPr>
      <w:r w:rsidRPr="00D64CC3">
        <w:rPr>
          <w:lang w:eastAsia="en-GB"/>
        </w:rPr>
        <w:t xml:space="preserve">the Participant was incorporated or otherwise duly organised in </w:t>
      </w:r>
      <w:r>
        <w:rPr>
          <w:lang w:eastAsia="en-GB"/>
        </w:rPr>
        <w:t xml:space="preserve">Scotland </w:t>
      </w:r>
      <w:r w:rsidRPr="00D64CC3">
        <w:rPr>
          <w:lang w:eastAsia="en-GB"/>
        </w:rPr>
        <w:t xml:space="preserve">as [e.g. a limited company] and is a separate legal entity, </w:t>
      </w:r>
      <w:r>
        <w:rPr>
          <w:lang w:eastAsia="en-GB"/>
        </w:rPr>
        <w:t>may sue and be sued</w:t>
      </w:r>
      <w:r w:rsidRPr="00D64CC3">
        <w:rPr>
          <w:lang w:eastAsia="en-GB"/>
        </w:rPr>
        <w:t xml:space="preserve"> in its own name, is an entity separate from, and is not a department of, </w:t>
      </w:r>
      <w:r w:rsidRPr="00D64CC3">
        <w:rPr>
          <w:color w:val="000000"/>
          <w:lang w:eastAsia="en-GB"/>
        </w:rPr>
        <w:t xml:space="preserve">the Government of the United Kingdom and </w:t>
      </w:r>
      <w:r>
        <w:rPr>
          <w:color w:val="000000"/>
          <w:lang w:eastAsia="en-GB"/>
        </w:rPr>
        <w:t>based solely on the information disclosed by the following: [</w:t>
      </w:r>
      <w:r>
        <w:rPr>
          <w:b/>
          <w:color w:val="000000"/>
          <w:lang w:eastAsia="en-GB"/>
        </w:rPr>
        <w:t xml:space="preserve">Note: insert details of searches carried out as required in the Register of Inhibitions and Adjudications, the Register of Companies and the Petitions Department at the Court of </w:t>
      </w:r>
      <w:r w:rsidRPr="005A6F62">
        <w:rPr>
          <w:b/>
          <w:color w:val="000000"/>
          <w:lang w:eastAsia="en-GB"/>
        </w:rPr>
        <w:t>Session</w:t>
      </w:r>
      <w:r>
        <w:rPr>
          <w:color w:val="000000"/>
          <w:lang w:eastAsia="en-GB"/>
        </w:rPr>
        <w:t xml:space="preserve">], </w:t>
      </w:r>
      <w:r w:rsidRPr="005A6F62">
        <w:rPr>
          <w:color w:val="000000"/>
          <w:lang w:eastAsia="en-GB"/>
        </w:rPr>
        <w:t>no</w:t>
      </w:r>
      <w:r w:rsidRPr="00D64CC3">
        <w:rPr>
          <w:color w:val="000000"/>
          <w:lang w:eastAsia="en-GB"/>
        </w:rPr>
        <w:t xml:space="preserve"> steps have been, or are being, taken in relation to any receivership, administration, liquidation, winding up or analogous proceedings under the laws of </w:t>
      </w:r>
      <w:r>
        <w:rPr>
          <w:lang w:eastAsia="en-GB"/>
        </w:rPr>
        <w:t>Scotland</w:t>
      </w:r>
      <w:r w:rsidRPr="00D64CC3">
        <w:rPr>
          <w:color w:val="000000"/>
          <w:lang w:eastAsia="en-GB"/>
        </w:rPr>
        <w:t xml:space="preserve"> in relation to the Participant or a material part of its undertaking;</w:t>
      </w:r>
    </w:p>
    <w:p w14:paraId="4AA41E24" w14:textId="1A792CB9" w:rsidR="0082214D" w:rsidRPr="00D64CC3" w:rsidRDefault="0082214D" w:rsidP="0082214D">
      <w:pPr>
        <w:pStyle w:val="FWBL3"/>
        <w:rPr>
          <w:color w:val="000000"/>
          <w:lang w:eastAsia="en-GB"/>
        </w:rPr>
      </w:pPr>
      <w:r w:rsidRPr="00D64CC3">
        <w:rPr>
          <w:lang w:eastAsia="en-GB"/>
        </w:rPr>
        <w:t xml:space="preserve">the Participant has the necessary power and authority, and all necessary corporate and other action has been taken, to enable the Participant to enter into a </w:t>
      </w:r>
      <w:r w:rsidRPr="00D64CC3">
        <w:rPr>
          <w:color w:val="000000"/>
          <w:lang w:eastAsia="en-GB"/>
        </w:rPr>
        <w:t>Loan Transaction and perform the obligations undertaken by it pursuant to the Terms and Conditions</w:t>
      </w:r>
      <w:r>
        <w:rPr>
          <w:color w:val="000000"/>
          <w:lang w:eastAsia="en-GB"/>
        </w:rPr>
        <w:t xml:space="preserve"> and each relevant Annex and Power of Attorney [</w:t>
      </w:r>
      <w:r>
        <w:rPr>
          <w:i/>
          <w:color w:val="000000"/>
          <w:lang w:eastAsia="en-GB"/>
        </w:rPr>
        <w:t>and include any ancillary documents such as side letters</w:t>
      </w:r>
      <w:r>
        <w:rPr>
          <w:color w:val="000000"/>
          <w:lang w:eastAsia="en-GB"/>
        </w:rPr>
        <w:t>] has been duly executed on behalf of the Participant</w:t>
      </w:r>
      <w:r w:rsidRPr="00D64CC3">
        <w:rPr>
          <w:color w:val="000000"/>
          <w:lang w:eastAsia="en-GB"/>
        </w:rPr>
        <w:t>;</w:t>
      </w:r>
    </w:p>
    <w:p w14:paraId="152535A1" w14:textId="77777777" w:rsidR="0082214D" w:rsidRPr="00D64CC3" w:rsidRDefault="0082214D" w:rsidP="0082214D">
      <w:pPr>
        <w:pStyle w:val="FWBL3"/>
        <w:rPr>
          <w:lang w:eastAsia="en-GB"/>
        </w:rPr>
      </w:pPr>
      <w:r w:rsidRPr="00D64CC3">
        <w:rPr>
          <w:lang w:eastAsia="en-GB"/>
        </w:rPr>
        <w:t xml:space="preserve">the execution and performance by the Participant of its obligations in respect of any Loan Transaction </w:t>
      </w:r>
      <w:r>
        <w:rPr>
          <w:lang w:eastAsia="en-GB"/>
        </w:rPr>
        <w:t xml:space="preserve">pursuant to the Terms and Conditions </w:t>
      </w:r>
      <w:r w:rsidRPr="00D64CC3">
        <w:rPr>
          <w:lang w:eastAsia="en-GB"/>
        </w:rPr>
        <w:t>on the relevant Transaction Date</w:t>
      </w:r>
      <w:r>
        <w:rPr>
          <w:lang w:eastAsia="en-GB"/>
        </w:rPr>
        <w:t xml:space="preserve"> were that Transaction Date to occur today</w:t>
      </w:r>
      <w:r w:rsidRPr="00D64CC3">
        <w:rPr>
          <w:lang w:eastAsia="en-GB"/>
        </w:rPr>
        <w:t xml:space="preserve"> and the </w:t>
      </w:r>
      <w:r>
        <w:rPr>
          <w:lang w:eastAsia="en-GB"/>
        </w:rPr>
        <w:t xml:space="preserve">execution of the </w:t>
      </w:r>
      <w:r w:rsidRPr="00D64CC3">
        <w:rPr>
          <w:lang w:eastAsia="en-GB"/>
        </w:rPr>
        <w:t>documentation relating thereto will not cause:</w:t>
      </w:r>
    </w:p>
    <w:p w14:paraId="4F872034" w14:textId="77777777" w:rsidR="0082214D" w:rsidRPr="00D64CC3" w:rsidRDefault="0082214D" w:rsidP="0082214D">
      <w:pPr>
        <w:pStyle w:val="FWBL4"/>
        <w:rPr>
          <w:lang w:eastAsia="en-GB"/>
        </w:rPr>
      </w:pPr>
      <w:r w:rsidRPr="00D64CC3">
        <w:rPr>
          <w:lang w:eastAsia="en-GB"/>
        </w:rPr>
        <w:t>any limit on the Participant or its directors (whether imposed by the documents constituting the Participant, statute or regulation, or, to the best of our knowledge, agreement or otherwise) to be exceeded;</w:t>
      </w:r>
    </w:p>
    <w:p w14:paraId="0DEB4602" w14:textId="77777777" w:rsidR="0082214D" w:rsidRPr="00D64CC3" w:rsidRDefault="0082214D" w:rsidP="0082214D">
      <w:pPr>
        <w:pStyle w:val="FWBL4"/>
        <w:rPr>
          <w:color w:val="000000"/>
          <w:lang w:eastAsia="en-GB"/>
        </w:rPr>
      </w:pPr>
      <w:r w:rsidRPr="00D64CC3">
        <w:rPr>
          <w:lang w:eastAsia="en-GB"/>
        </w:rPr>
        <w:t xml:space="preserve">any applicable law, rule, regulation or order to which the Participant is </w:t>
      </w:r>
      <w:r w:rsidRPr="00D64CC3">
        <w:rPr>
          <w:color w:val="000000"/>
          <w:lang w:eastAsia="en-GB"/>
        </w:rPr>
        <w:t>subject to be contravened;</w:t>
      </w:r>
    </w:p>
    <w:p w14:paraId="15E96969" w14:textId="77777777" w:rsidR="0082214D" w:rsidRPr="00D64CC3" w:rsidRDefault="0082214D" w:rsidP="0082214D">
      <w:pPr>
        <w:pStyle w:val="FWBL4"/>
        <w:rPr>
          <w:lang w:eastAsia="en-GB"/>
        </w:rPr>
      </w:pPr>
      <w:r w:rsidRPr="00D64CC3">
        <w:rPr>
          <w:lang w:eastAsia="en-GB"/>
        </w:rPr>
        <w:t>any default (including, without limitation, the breach of any negative pledge) under, or give rise to an obligation to create any form of security interest or similar right pursuant to,</w:t>
      </w:r>
      <w:r>
        <w:rPr>
          <w:lang w:eastAsia="en-GB"/>
        </w:rPr>
        <w:t xml:space="preserve"> the documents set out in Part B of Schedule 3</w:t>
      </w:r>
      <w:r w:rsidRPr="00D64CC3">
        <w:rPr>
          <w:color w:val="000000"/>
          <w:lang w:eastAsia="en-GB"/>
        </w:rPr>
        <w:t>;</w:t>
      </w:r>
      <w:r w:rsidRPr="00D64CC3">
        <w:rPr>
          <w:lang w:eastAsia="en-GB"/>
        </w:rPr>
        <w:t>]</w:t>
      </w:r>
      <w:r w:rsidRPr="00D64CC3">
        <w:rPr>
          <w:rStyle w:val="FootnoteReference"/>
          <w:lang w:eastAsia="en-GB"/>
        </w:rPr>
        <w:footnoteReference w:id="6"/>
      </w:r>
    </w:p>
    <w:p w14:paraId="367D9AD7" w14:textId="77777777" w:rsidR="0082214D" w:rsidRPr="00D64CC3" w:rsidRDefault="0082214D" w:rsidP="0082214D">
      <w:pPr>
        <w:pStyle w:val="ParaHeading"/>
        <w:rPr>
          <w:lang w:eastAsia="en-GB"/>
        </w:rPr>
      </w:pPr>
      <w:r w:rsidRPr="00D64CC3">
        <w:rPr>
          <w:lang w:eastAsia="en-GB"/>
        </w:rPr>
        <w:t>Filings, Consents, &amp; Taxes</w:t>
      </w:r>
    </w:p>
    <w:p w14:paraId="0BA9FEB4" w14:textId="77777777" w:rsidR="0082214D" w:rsidRPr="00D64CC3" w:rsidRDefault="0082214D" w:rsidP="0082214D">
      <w:pPr>
        <w:pStyle w:val="FWBL3"/>
        <w:rPr>
          <w:color w:val="000000"/>
          <w:lang w:eastAsia="en-GB"/>
        </w:rPr>
      </w:pPr>
      <w:r w:rsidRPr="00D64CC3">
        <w:rPr>
          <w:lang w:eastAsia="en-GB"/>
        </w:rPr>
        <w:t xml:space="preserve">it is not necessary or advisable under the laws of </w:t>
      </w:r>
      <w:r>
        <w:rPr>
          <w:lang w:eastAsia="en-GB"/>
        </w:rPr>
        <w:t>Scotland</w:t>
      </w:r>
      <w:r w:rsidRPr="00D64CC3">
        <w:rPr>
          <w:lang w:eastAsia="en-GB"/>
        </w:rPr>
        <w:t xml:space="preserve"> in order to ensure the validity, enforceability, priority or admissibility in evidence of the obligations of the Partic</w:t>
      </w:r>
      <w:r w:rsidR="008B4F12">
        <w:rPr>
          <w:lang w:eastAsia="en-GB"/>
        </w:rPr>
        <w:t>ipant or the rights of the Bank</w:t>
      </w:r>
      <w:r>
        <w:rPr>
          <w:lang w:eastAsia="en-GB"/>
        </w:rPr>
        <w:t xml:space="preserve"> </w:t>
      </w:r>
      <w:r w:rsidRPr="00D64CC3">
        <w:rPr>
          <w:lang w:eastAsia="en-GB"/>
        </w:rPr>
        <w:t xml:space="preserve">under the </w:t>
      </w:r>
      <w:r w:rsidRPr="00D64CC3">
        <w:rPr>
          <w:color w:val="000000"/>
          <w:lang w:eastAsia="en-GB"/>
        </w:rPr>
        <w:t xml:space="preserve">Terms and Conditions, that the documentation relating to any </w:t>
      </w:r>
      <w:r w:rsidRPr="00D64CC3">
        <w:t xml:space="preserve">Loan Transaction </w:t>
      </w:r>
      <w:r w:rsidRPr="00D64CC3">
        <w:rPr>
          <w:color w:val="000000"/>
          <w:lang w:eastAsia="en-GB"/>
        </w:rPr>
        <w:t xml:space="preserve">be filed, registered, recorded or notarised in any public office or elsewhere or that any other instrument relating thereto be signed, delivered, filed, registered or recorded, that any tax or duty be paid or that any other action whatsoever be taken; </w:t>
      </w:r>
    </w:p>
    <w:p w14:paraId="139CF5A4" w14:textId="77777777" w:rsidR="0082214D" w:rsidRPr="00D64CC3" w:rsidRDefault="0082214D" w:rsidP="0082214D">
      <w:pPr>
        <w:pStyle w:val="FWBL3"/>
        <w:rPr>
          <w:lang w:eastAsia="en-GB"/>
        </w:rPr>
      </w:pPr>
      <w:r w:rsidRPr="00D64CC3">
        <w:rPr>
          <w:lang w:eastAsia="en-GB"/>
        </w:rPr>
        <w:t xml:space="preserve">all consents, authorisations, licences or approvals of, or registrations with, or declarations to, governmental or public bodies, authorities or courts of or in  </w:t>
      </w:r>
      <w:r>
        <w:rPr>
          <w:lang w:eastAsia="en-GB"/>
        </w:rPr>
        <w:t>Scotland</w:t>
      </w:r>
      <w:r w:rsidRPr="00D64CC3">
        <w:rPr>
          <w:lang w:eastAsia="en-GB"/>
        </w:rPr>
        <w:t xml:space="preserve"> in connection with the validity</w:t>
      </w:r>
      <w:r w:rsidRPr="00D64CC3">
        <w:rPr>
          <w:color w:val="000000"/>
          <w:lang w:eastAsia="en-GB"/>
        </w:rPr>
        <w:t xml:space="preserve"> of the obligations of the Participant (including in its role as Administrator) or the rights of the Bank</w:t>
      </w:r>
      <w:r>
        <w:rPr>
          <w:lang w:eastAsia="en-GB"/>
        </w:rPr>
        <w:t xml:space="preserve"> </w:t>
      </w:r>
      <w:r w:rsidRPr="00D64CC3">
        <w:rPr>
          <w:color w:val="000000"/>
          <w:lang w:eastAsia="en-GB"/>
        </w:rPr>
        <w:t>under the Terms and Conditions, have been obtained or made or are in full force and effect;</w:t>
      </w:r>
    </w:p>
    <w:p w14:paraId="07885B8A" w14:textId="77777777" w:rsidR="0082214D" w:rsidRPr="00D64CC3" w:rsidRDefault="0082214D" w:rsidP="0082214D">
      <w:pPr>
        <w:pStyle w:val="FWBL3"/>
        <w:rPr>
          <w:lang w:eastAsia="en-GB"/>
        </w:rPr>
      </w:pPr>
      <w:r w:rsidRPr="00D64CC3">
        <w:rPr>
          <w:lang w:eastAsia="en-GB"/>
        </w:rPr>
        <w:t>the</w:t>
      </w:r>
      <w:r>
        <w:rPr>
          <w:lang w:eastAsia="en-GB"/>
        </w:rPr>
        <w:t xml:space="preserve"> existing</w:t>
      </w:r>
      <w:r w:rsidRPr="00D64CC3">
        <w:rPr>
          <w:lang w:eastAsia="en-GB"/>
        </w:rPr>
        <w:t xml:space="preserve"> obligations of the Participant under the Terms and Conditions in respect of any Loan Transaction rank at least equally and rateably (pari passu) in point of priority and security with all other unsecured obligations of the Participant; </w:t>
      </w:r>
    </w:p>
    <w:p w14:paraId="152C7123" w14:textId="77777777" w:rsidR="0082214D" w:rsidRPr="00D64CC3" w:rsidRDefault="0082214D" w:rsidP="0082214D">
      <w:pPr>
        <w:pStyle w:val="ParaHeading"/>
        <w:rPr>
          <w:color w:val="000000"/>
          <w:lang w:eastAsia="en-GB"/>
        </w:rPr>
      </w:pPr>
      <w:r w:rsidRPr="00D64CC3">
        <w:rPr>
          <w:lang w:eastAsia="en-GB"/>
        </w:rPr>
        <w:t>Choice of Law</w:t>
      </w:r>
      <w:r>
        <w:rPr>
          <w:lang w:eastAsia="en-GB"/>
        </w:rPr>
        <w:t>,</w:t>
      </w:r>
      <w:r w:rsidRPr="00D64CC3">
        <w:rPr>
          <w:lang w:eastAsia="en-GB"/>
        </w:rPr>
        <w:t xml:space="preserve"> Submission to Jurisdiction</w:t>
      </w:r>
      <w:r>
        <w:rPr>
          <w:lang w:eastAsia="en-GB"/>
        </w:rPr>
        <w:t xml:space="preserve"> and Enforcement of Judgments</w:t>
      </w:r>
    </w:p>
    <w:p w14:paraId="64FD0170" w14:textId="77777777" w:rsidR="0082214D" w:rsidRDefault="0082214D" w:rsidP="0082214D">
      <w:pPr>
        <w:pStyle w:val="FWBL3"/>
        <w:numPr>
          <w:ilvl w:val="0"/>
          <w:numId w:val="0"/>
        </w:numPr>
        <w:rPr>
          <w:lang w:eastAsia="en-GB"/>
        </w:rPr>
      </w:pPr>
      <w:r>
        <w:rPr>
          <w:lang w:eastAsia="en-GB"/>
        </w:rPr>
        <w:t>Subject to and in accordance with the Civil Jurisdiction and Judgments Act 1982 and Council Regulation (EC) 44/</w:t>
      </w:r>
      <w:r w:rsidR="00DB18CC">
        <w:rPr>
          <w:lang w:eastAsia="en-GB"/>
        </w:rPr>
        <w:t>2001</w:t>
      </w:r>
      <w:r>
        <w:rPr>
          <w:lang w:eastAsia="en-GB"/>
        </w:rPr>
        <w:t>;</w:t>
      </w:r>
    </w:p>
    <w:p w14:paraId="592D0897" w14:textId="4DC7EF6B" w:rsidR="0082214D" w:rsidRPr="00D64CC3" w:rsidRDefault="0082214D" w:rsidP="0082214D">
      <w:pPr>
        <w:pStyle w:val="FWBL3"/>
        <w:rPr>
          <w:lang w:eastAsia="en-GB"/>
        </w:rPr>
      </w:pPr>
      <w:r w:rsidRPr="00D64CC3">
        <w:rPr>
          <w:lang w:eastAsia="en-GB"/>
        </w:rPr>
        <w:t xml:space="preserve">the choice of </w:t>
      </w:r>
      <w:r>
        <w:rPr>
          <w:lang w:eastAsia="en-GB"/>
        </w:rPr>
        <w:t xml:space="preserve">English </w:t>
      </w:r>
      <w:r w:rsidRPr="00D64CC3">
        <w:rPr>
          <w:lang w:eastAsia="en-GB"/>
        </w:rPr>
        <w:t xml:space="preserve">law to govern a Loan Transaction (including any related Power of Attorney, assignment of Guarantees or Insurance Contracts) pursuant to the Terms and Conditions (in so far as they are expressed to be governed by </w:t>
      </w:r>
      <w:r>
        <w:rPr>
          <w:lang w:eastAsia="en-GB"/>
        </w:rPr>
        <w:t xml:space="preserve">English </w:t>
      </w:r>
      <w:r w:rsidRPr="00D64CC3">
        <w:rPr>
          <w:lang w:eastAsia="en-GB"/>
        </w:rPr>
        <w:t xml:space="preserve">law) will be upheld as a valid choice of law in any action in the </w:t>
      </w:r>
      <w:r>
        <w:rPr>
          <w:lang w:eastAsia="en-GB"/>
        </w:rPr>
        <w:t xml:space="preserve">Scottish </w:t>
      </w:r>
      <w:r w:rsidRPr="00D64CC3">
        <w:rPr>
          <w:lang w:eastAsia="en-GB"/>
        </w:rPr>
        <w:t>courts</w:t>
      </w:r>
      <w:r>
        <w:rPr>
          <w:lang w:eastAsia="en-GB"/>
        </w:rPr>
        <w:t xml:space="preserve"> in respect of such  English law governed documents</w:t>
      </w:r>
      <w:r w:rsidRPr="00D64CC3">
        <w:rPr>
          <w:lang w:eastAsia="en-GB"/>
        </w:rPr>
        <w:t>;</w:t>
      </w:r>
    </w:p>
    <w:p w14:paraId="2FAF8011" w14:textId="080F3DEF" w:rsidR="0082214D" w:rsidRPr="00D64CC3" w:rsidRDefault="0082214D" w:rsidP="0082214D">
      <w:pPr>
        <w:pStyle w:val="FWBL3"/>
        <w:rPr>
          <w:lang w:eastAsia="en-GB"/>
        </w:rPr>
      </w:pPr>
      <w:r>
        <w:rPr>
          <w:lang w:eastAsia="en-GB"/>
        </w:rPr>
        <w:t>[</w:t>
      </w:r>
      <w:r w:rsidRPr="00D64CC3">
        <w:rPr>
          <w:lang w:eastAsia="en-GB"/>
        </w:rPr>
        <w:t>the choice of Scots law to govern any [Scottish Declaration of Trust granted by the Participant]</w:t>
      </w:r>
      <w:r>
        <w:rPr>
          <w:lang w:eastAsia="en-GB"/>
        </w:rPr>
        <w:t>[any Scottish Transfers and any]</w:t>
      </w:r>
      <w:r w:rsidRPr="00D64CC3">
        <w:rPr>
          <w:lang w:eastAsia="en-GB"/>
        </w:rPr>
        <w:t xml:space="preserve">[assignation of any </w:t>
      </w:r>
      <w:r>
        <w:rPr>
          <w:lang w:eastAsia="en-GB"/>
        </w:rPr>
        <w:t xml:space="preserve">Scottish </w:t>
      </w:r>
      <w:r w:rsidRPr="00D64CC3">
        <w:rPr>
          <w:lang w:eastAsia="en-GB"/>
        </w:rPr>
        <w:t>Guarantee</w:t>
      </w:r>
      <w:r w:rsidR="00FA0276">
        <w:rPr>
          <w:lang w:eastAsia="en-GB"/>
        </w:rPr>
        <w:t xml:space="preserve"> by the Participant to the Bank</w:t>
      </w:r>
      <w:r w:rsidR="008B4F12">
        <w:rPr>
          <w:lang w:eastAsia="en-GB"/>
        </w:rPr>
        <w:t xml:space="preserve"> </w:t>
      </w:r>
      <w:r w:rsidRPr="00D64CC3">
        <w:rPr>
          <w:lang w:eastAsia="en-GB"/>
        </w:rPr>
        <w:t xml:space="preserve">in respect of any Loan Transaction,] pursuant to the Terms and Conditions and </w:t>
      </w:r>
      <w:r w:rsidR="00FA104A">
        <w:rPr>
          <w:lang w:eastAsia="en-GB"/>
        </w:rPr>
        <w:t>[</w:t>
      </w:r>
      <w:r w:rsidR="008941D4">
        <w:rPr>
          <w:lang w:eastAsia="en-GB"/>
        </w:rPr>
        <w:t xml:space="preserve">(1) </w:t>
      </w:r>
      <w:r w:rsidRPr="00D64CC3">
        <w:rPr>
          <w:lang w:eastAsia="en-GB"/>
        </w:rPr>
        <w:t xml:space="preserve">[Schedule </w:t>
      </w:r>
      <w:r>
        <w:rPr>
          <w:lang w:eastAsia="en-GB"/>
        </w:rPr>
        <w:t>[</w:t>
      </w:r>
      <w:r w:rsidR="00A06DE2">
        <w:rPr>
          <w:lang w:eastAsia="en-GB"/>
        </w:rPr>
        <w:t>5</w:t>
      </w:r>
      <w:r>
        <w:rPr>
          <w:lang w:eastAsia="en-GB"/>
        </w:rPr>
        <w:t>]</w:t>
      </w:r>
      <w:r w:rsidRPr="00D64CC3">
        <w:rPr>
          <w:lang w:eastAsia="en-GB"/>
        </w:rPr>
        <w:t xml:space="preserve"> (</w:t>
      </w:r>
      <w:r w:rsidRPr="00D64CC3">
        <w:rPr>
          <w:i/>
          <w:lang w:eastAsia="en-GB"/>
        </w:rPr>
        <w:t xml:space="preserve">Assignation of Scottish </w:t>
      </w:r>
      <w:r>
        <w:rPr>
          <w:i/>
          <w:lang w:eastAsia="en-GB"/>
        </w:rPr>
        <w:t xml:space="preserve">Loan </w:t>
      </w:r>
      <w:r w:rsidRPr="00D64CC3">
        <w:rPr>
          <w:i/>
          <w:lang w:eastAsia="en-GB"/>
        </w:rPr>
        <w:t>Guarantees</w:t>
      </w:r>
      <w:r w:rsidRPr="00D64CC3">
        <w:rPr>
          <w:lang w:eastAsia="en-GB"/>
        </w:rPr>
        <w:t>) to the Annex</w:t>
      </w:r>
      <w:r w:rsidR="000E3220">
        <w:rPr>
          <w:lang w:eastAsia="en-GB"/>
        </w:rPr>
        <w:t>es</w:t>
      </w:r>
      <w:r w:rsidR="00FA104A">
        <w:rPr>
          <w:lang w:eastAsia="en-GB"/>
        </w:rPr>
        <w:t>]</w:t>
      </w:r>
      <w:r w:rsidR="008941D4">
        <w:rPr>
          <w:lang w:eastAsia="en-GB"/>
        </w:rPr>
        <w:t xml:space="preserve">, (2) </w:t>
      </w:r>
      <w:r w:rsidRPr="00D64CC3">
        <w:rPr>
          <w:lang w:eastAsia="en-GB"/>
        </w:rPr>
        <w:t xml:space="preserve">[Schedule </w:t>
      </w:r>
      <w:r>
        <w:rPr>
          <w:lang w:eastAsia="en-GB"/>
        </w:rPr>
        <w:t>[</w:t>
      </w:r>
      <w:r w:rsidR="00A06DE2">
        <w:rPr>
          <w:lang w:eastAsia="en-GB"/>
        </w:rPr>
        <w:t>4B</w:t>
      </w:r>
      <w:r>
        <w:rPr>
          <w:lang w:eastAsia="en-GB"/>
        </w:rPr>
        <w:t>] (</w:t>
      </w:r>
      <w:r w:rsidRPr="000E43F3">
        <w:rPr>
          <w:i/>
          <w:lang w:eastAsia="en-GB"/>
        </w:rPr>
        <w:t>Form of Scottish Declaration of Trust</w:t>
      </w:r>
      <w:r>
        <w:rPr>
          <w:lang w:eastAsia="en-GB"/>
        </w:rPr>
        <w:t>) to the Annex</w:t>
      </w:r>
      <w:r w:rsidR="000E3220">
        <w:rPr>
          <w:lang w:eastAsia="en-GB"/>
        </w:rPr>
        <w:t>es</w:t>
      </w:r>
      <w:r w:rsidR="00FA104A">
        <w:rPr>
          <w:lang w:eastAsia="en-GB"/>
        </w:rPr>
        <w:t>]</w:t>
      </w:r>
      <w:r w:rsidR="008941D4">
        <w:rPr>
          <w:lang w:eastAsia="en-GB"/>
        </w:rPr>
        <w:t xml:space="preserve"> and (3)</w:t>
      </w:r>
      <w:r>
        <w:rPr>
          <w:lang w:eastAsia="en-GB"/>
        </w:rPr>
        <w:t xml:space="preserve"> </w:t>
      </w:r>
      <w:r w:rsidR="00FA104A">
        <w:rPr>
          <w:lang w:eastAsia="en-GB"/>
        </w:rPr>
        <w:t>[</w:t>
      </w:r>
      <w:r>
        <w:rPr>
          <w:lang w:eastAsia="en-GB"/>
        </w:rPr>
        <w:t>Schedule [</w:t>
      </w:r>
      <w:r w:rsidR="00A06DE2">
        <w:rPr>
          <w:lang w:eastAsia="en-GB"/>
        </w:rPr>
        <w:t>4</w:t>
      </w:r>
      <w:r>
        <w:rPr>
          <w:lang w:eastAsia="en-GB"/>
        </w:rPr>
        <w:t>A</w:t>
      </w:r>
      <w:r w:rsidR="00A06DE2">
        <w:rPr>
          <w:lang w:eastAsia="en-GB"/>
        </w:rPr>
        <w:t xml:space="preserve"> Parts A and B</w:t>
      </w:r>
      <w:r>
        <w:rPr>
          <w:lang w:eastAsia="en-GB"/>
        </w:rPr>
        <w:t>] (</w:t>
      </w:r>
      <w:r w:rsidRPr="000E43F3">
        <w:rPr>
          <w:i/>
          <w:lang w:eastAsia="en-GB"/>
        </w:rPr>
        <w:t xml:space="preserve">Form of Scottish </w:t>
      </w:r>
      <w:r>
        <w:rPr>
          <w:i/>
          <w:lang w:eastAsia="en-GB"/>
        </w:rPr>
        <w:t>Transfers</w:t>
      </w:r>
      <w:r>
        <w:rPr>
          <w:lang w:eastAsia="en-GB"/>
        </w:rPr>
        <w:t>) to the Annex</w:t>
      </w:r>
      <w:r w:rsidR="000E3220">
        <w:rPr>
          <w:lang w:eastAsia="en-GB"/>
        </w:rPr>
        <w:t>es</w:t>
      </w:r>
      <w:r w:rsidR="00FA104A">
        <w:rPr>
          <w:lang w:eastAsia="en-GB"/>
        </w:rPr>
        <w:t>]</w:t>
      </w:r>
      <w:r w:rsidR="00A06DE2">
        <w:rPr>
          <w:lang w:eastAsia="en-GB"/>
        </w:rPr>
        <w:t xml:space="preserve">] </w:t>
      </w:r>
      <w:r w:rsidRPr="00D64CC3">
        <w:rPr>
          <w:lang w:eastAsia="en-GB"/>
        </w:rPr>
        <w:t xml:space="preserve">will be upheld as a valid choice of law in any action in the </w:t>
      </w:r>
      <w:r>
        <w:rPr>
          <w:lang w:eastAsia="en-GB"/>
        </w:rPr>
        <w:t>Scottish</w:t>
      </w:r>
      <w:r w:rsidRPr="00D64CC3">
        <w:rPr>
          <w:lang w:eastAsia="en-GB"/>
        </w:rPr>
        <w:t xml:space="preserve"> courts;</w:t>
      </w:r>
      <w:r>
        <w:rPr>
          <w:lang w:eastAsia="en-GB"/>
        </w:rPr>
        <w:t>]</w:t>
      </w:r>
      <w:r>
        <w:rPr>
          <w:rStyle w:val="FootnoteReference"/>
          <w:lang w:eastAsia="en-GB"/>
        </w:rPr>
        <w:footnoteReference w:id="7"/>
      </w:r>
    </w:p>
    <w:p w14:paraId="7AD0E5A3" w14:textId="77777777" w:rsidR="0082214D" w:rsidRDefault="0082214D" w:rsidP="0082214D">
      <w:pPr>
        <w:pStyle w:val="FWBL3"/>
        <w:rPr>
          <w:lang w:eastAsia="en-GB"/>
        </w:rPr>
      </w:pPr>
      <w:r w:rsidRPr="00D64CC3">
        <w:rPr>
          <w:lang w:eastAsia="en-GB"/>
        </w:rPr>
        <w:t>[</w:t>
      </w:r>
      <w:r>
        <w:t>the choice of the laws of Northern Ireland to govern any Form of Northern Irish Transfer for [Registered Land] [and] [Unregistered Land] in respect of any [Mortgage] Loan Transaction Annex by the Participant to the Bank</w:t>
      </w:r>
      <w:r w:rsidRPr="00A0699E">
        <w:rPr>
          <w:lang w:eastAsia="en-GB"/>
        </w:rPr>
        <w:t xml:space="preserve"> </w:t>
      </w:r>
      <w:r>
        <w:t>in respect of any Loan Transaction, pursuant to the Terms and Conditions and the Annex will be upheld as a valid choice of law in any action in the Scottish courts;]</w:t>
      </w:r>
      <w:r w:rsidRPr="00D64CC3">
        <w:rPr>
          <w:rStyle w:val="FootnoteReference"/>
          <w:color w:val="000000"/>
          <w:lang w:eastAsia="en-GB"/>
        </w:rPr>
        <w:footnoteReference w:id="8"/>
      </w:r>
    </w:p>
    <w:p w14:paraId="3B0699C6" w14:textId="4AAA0247" w:rsidR="0082214D" w:rsidRDefault="0082214D" w:rsidP="0082214D">
      <w:pPr>
        <w:pStyle w:val="FWBL3"/>
        <w:rPr>
          <w:lang w:eastAsia="en-GB"/>
        </w:rPr>
      </w:pPr>
      <w:r w:rsidRPr="00D64CC3">
        <w:rPr>
          <w:lang w:eastAsia="en-GB"/>
        </w:rPr>
        <w:t xml:space="preserve">the submission by the Participant to the exclusive jurisdiction of the </w:t>
      </w:r>
      <w:r>
        <w:rPr>
          <w:lang w:eastAsia="en-GB"/>
        </w:rPr>
        <w:t xml:space="preserve">English </w:t>
      </w:r>
      <w:r w:rsidRPr="00D64CC3">
        <w:rPr>
          <w:lang w:eastAsia="en-GB"/>
        </w:rPr>
        <w:t>courts pursuant to clause A.22 of the SMF Terms and Conditions</w:t>
      </w:r>
      <w:r w:rsidR="000653B6">
        <w:rPr>
          <w:lang w:eastAsia="en-GB"/>
        </w:rPr>
        <w:t>, clause 30 of the FLS Terms and Conditions</w:t>
      </w:r>
      <w:r w:rsidR="00E33721">
        <w:rPr>
          <w:lang w:eastAsia="en-GB"/>
        </w:rPr>
        <w:t>,</w:t>
      </w:r>
      <w:r w:rsidR="00BD7454">
        <w:rPr>
          <w:lang w:eastAsia="en-GB"/>
        </w:rPr>
        <w:t xml:space="preserve"> </w:t>
      </w:r>
      <w:r w:rsidR="000653B6">
        <w:rPr>
          <w:lang w:eastAsia="en-GB"/>
        </w:rPr>
        <w:t>clause 32 of the TFS Terms and Conditions</w:t>
      </w:r>
      <w:r w:rsidR="00E33721">
        <w:rPr>
          <w:lang w:eastAsia="en-GB"/>
        </w:rPr>
        <w:t xml:space="preserve"> and clause </w:t>
      </w:r>
      <w:r w:rsidR="00D96F2D">
        <w:rPr>
          <w:lang w:eastAsia="en-GB"/>
        </w:rPr>
        <w:t>32</w:t>
      </w:r>
      <w:r w:rsidR="00E33721">
        <w:rPr>
          <w:lang w:eastAsia="en-GB"/>
        </w:rPr>
        <w:t xml:space="preserve"> of the TFSME Terms and Conditions</w:t>
      </w:r>
      <w:r w:rsidRPr="00D64CC3">
        <w:rPr>
          <w:lang w:eastAsia="en-GB"/>
        </w:rPr>
        <w:t xml:space="preserve"> in respect of any Loan Transaction is a valid and binding submission on the Participant (and not subject to revocation) </w:t>
      </w:r>
      <w:r>
        <w:rPr>
          <w:lang w:eastAsia="en-GB"/>
        </w:rPr>
        <w:t xml:space="preserve">as a matter of Scots law </w:t>
      </w:r>
      <w:r w:rsidRPr="00D64CC3">
        <w:rPr>
          <w:lang w:eastAsia="en-GB"/>
        </w:rPr>
        <w:t xml:space="preserve">and will be recognised and upheld by a </w:t>
      </w:r>
      <w:r>
        <w:rPr>
          <w:lang w:eastAsia="en-GB"/>
        </w:rPr>
        <w:t>Scottish court;</w:t>
      </w:r>
      <w:r w:rsidR="000653B6">
        <w:rPr>
          <w:rStyle w:val="FootnoteReference"/>
          <w:lang w:eastAsia="en-GB"/>
        </w:rPr>
        <w:footnoteReference w:id="9"/>
      </w:r>
    </w:p>
    <w:p w14:paraId="074608A4" w14:textId="77777777" w:rsidR="0082214D" w:rsidRDefault="0082214D" w:rsidP="0082214D">
      <w:pPr>
        <w:pStyle w:val="FWBL3"/>
        <w:rPr>
          <w:lang w:eastAsia="en-GB"/>
        </w:rPr>
      </w:pPr>
      <w:r>
        <w:rPr>
          <w:lang w:eastAsia="en-GB"/>
        </w:rPr>
        <w:t xml:space="preserve">any final judgment obtained against the Participant from the courts of England in relation to a Loan Transaction would be recognised and upheld by the Scottish courts without re-trial or examination of the merits of the case; </w:t>
      </w:r>
    </w:p>
    <w:p w14:paraId="24C62889" w14:textId="77777777" w:rsidR="0082214D" w:rsidRPr="001D2826" w:rsidRDefault="0082214D" w:rsidP="0082214D">
      <w:pPr>
        <w:pStyle w:val="FWBL3"/>
        <w:keepNext/>
        <w:numPr>
          <w:ilvl w:val="0"/>
          <w:numId w:val="0"/>
        </w:numPr>
        <w:rPr>
          <w:b/>
          <w:lang w:eastAsia="en-GB"/>
        </w:rPr>
      </w:pPr>
      <w:r w:rsidRPr="001D2826">
        <w:rPr>
          <w:b/>
          <w:lang w:eastAsia="en-GB"/>
        </w:rPr>
        <w:t xml:space="preserve">Enforceability of </w:t>
      </w:r>
      <w:r>
        <w:rPr>
          <w:b/>
          <w:lang w:eastAsia="en-GB"/>
        </w:rPr>
        <w:t>[</w:t>
      </w:r>
      <w:r w:rsidRPr="001D2826">
        <w:rPr>
          <w:b/>
          <w:lang w:eastAsia="en-GB"/>
        </w:rPr>
        <w:t>Mortgage</w:t>
      </w:r>
      <w:r>
        <w:rPr>
          <w:b/>
          <w:lang w:eastAsia="en-GB"/>
        </w:rPr>
        <w:t>]</w:t>
      </w:r>
      <w:r w:rsidRPr="001D2826">
        <w:rPr>
          <w:b/>
          <w:lang w:eastAsia="en-GB"/>
        </w:rPr>
        <w:t xml:space="preserve"> Loans</w:t>
      </w:r>
    </w:p>
    <w:p w14:paraId="610DE902" w14:textId="77777777" w:rsidR="0082214D" w:rsidRDefault="0082214D" w:rsidP="0082214D">
      <w:pPr>
        <w:pStyle w:val="FWBL3"/>
        <w:rPr>
          <w:lang w:eastAsia="en-GB"/>
        </w:rPr>
      </w:pPr>
      <w:r>
        <w:rPr>
          <w:lang w:eastAsia="en-GB"/>
        </w:rPr>
        <w:t>we can confirm that the obligations of the parties under the [Standard Loan Documentation/loans constituting the Proposed Portfolio]</w:t>
      </w:r>
      <w:r>
        <w:t xml:space="preserve"> constitute legal, valid and binding obligations of each such party and are enforceable in accordance with their terms [subject to our reasoned opinion set out in Schedule 4, which will form part of this opinion];     </w:t>
      </w:r>
    </w:p>
    <w:p w14:paraId="6DB0D860" w14:textId="77777777" w:rsidR="0082214D" w:rsidRPr="00D64CC3" w:rsidRDefault="0082214D" w:rsidP="0082214D">
      <w:pPr>
        <w:pStyle w:val="FWBL3"/>
        <w:rPr>
          <w:lang w:eastAsia="en-GB"/>
        </w:rPr>
      </w:pPr>
      <w:r>
        <w:t xml:space="preserve">[following our search of the Registers of Scotland, we can confirm </w:t>
      </w:r>
      <w:r w:rsidRPr="00D64CC3">
        <w:t xml:space="preserve">that the Participant is registered as </w:t>
      </w:r>
      <w:r>
        <w:t xml:space="preserve">a </w:t>
      </w:r>
      <w:r w:rsidRPr="00D64CC3">
        <w:t xml:space="preserve">proprietor of the Mortgages </w:t>
      </w:r>
      <w:r>
        <w:t>subject to the Mortgage Loans listed in Schedule 2 to the Due Diligence Report governed by Scots law; and]</w:t>
      </w:r>
      <w:r>
        <w:rPr>
          <w:rStyle w:val="FootnoteReference"/>
        </w:rPr>
        <w:footnoteReference w:id="10"/>
      </w:r>
    </w:p>
    <w:p w14:paraId="3469D53C" w14:textId="77777777" w:rsidR="0082214D" w:rsidRPr="00D64CC3" w:rsidRDefault="0082214D" w:rsidP="0082214D">
      <w:pPr>
        <w:pStyle w:val="ParaHeading"/>
        <w:rPr>
          <w:lang w:eastAsia="en-GB"/>
        </w:rPr>
      </w:pPr>
      <w:r w:rsidRPr="00D64CC3">
        <w:rPr>
          <w:lang w:eastAsia="en-GB"/>
        </w:rPr>
        <w:t>[Standard Loan Documentation</w:t>
      </w:r>
      <w:r w:rsidRPr="00D64CC3">
        <w:rPr>
          <w:rStyle w:val="FootnoteReference"/>
          <w:lang w:eastAsia="en-GB"/>
        </w:rPr>
        <w:footnoteReference w:id="11"/>
      </w:r>
    </w:p>
    <w:p w14:paraId="5B262A19" w14:textId="77777777" w:rsidR="0082214D" w:rsidRPr="00D64CC3" w:rsidRDefault="0082214D" w:rsidP="0082214D">
      <w:pPr>
        <w:pStyle w:val="FWBL3"/>
      </w:pPr>
      <w:r w:rsidRPr="00D64CC3">
        <w:t xml:space="preserve">[the Participant’s Standard Loan Documentation </w:t>
      </w:r>
      <w:r>
        <w:t>governed by Scots law</w:t>
      </w:r>
      <w:r w:rsidRPr="00D64CC3">
        <w:t xml:space="preserve"> </w:t>
      </w:r>
      <w:r>
        <w:t xml:space="preserve">and </w:t>
      </w:r>
      <w:r w:rsidRPr="00D64CC3">
        <w:t>reviewed by us contains no contractual provision</w:t>
      </w:r>
      <w:r>
        <w:t>s</w:t>
      </w:r>
      <w:r w:rsidRPr="00D64CC3">
        <w:t xml:space="preserve"> which would prevent </w:t>
      </w:r>
      <w:r>
        <w:t>the</w:t>
      </w:r>
      <w:r w:rsidRPr="00D64CC3">
        <w:t xml:space="preserve"> declaration of trust </w:t>
      </w:r>
      <w:r>
        <w:t xml:space="preserve">over, the assignment, assignation or transfer of, </w:t>
      </w:r>
      <w:r w:rsidRPr="00D64CC3">
        <w:t>any [Mortgage] Loans and their Related Security, any related Insurance Contracts and/or Guarantees</w:t>
      </w:r>
      <w:r>
        <w:t>.</w:t>
      </w:r>
      <w:r w:rsidRPr="00D64CC3">
        <w:t>]</w:t>
      </w:r>
      <w:r>
        <w:t xml:space="preserve"> </w:t>
      </w:r>
      <w:r w:rsidRPr="00D64CC3">
        <w:t>by the Participant on a Transaction Date</w:t>
      </w:r>
      <w:r>
        <w:t xml:space="preserve"> pursuant to</w:t>
      </w:r>
      <w:r w:rsidRPr="00D64CC3">
        <w:t xml:space="preserve"> the Terms and Conditions</w:t>
      </w:r>
      <w:r>
        <w:t>.</w:t>
      </w:r>
      <w:r w:rsidRPr="00D64CC3">
        <w:t xml:space="preserve"> </w:t>
      </w:r>
    </w:p>
    <w:p w14:paraId="6229EFF9" w14:textId="77777777" w:rsidR="0082214D" w:rsidRPr="00D64CC3" w:rsidRDefault="0082214D" w:rsidP="0082214D">
      <w:pPr>
        <w:pStyle w:val="BodyText"/>
        <w:rPr>
          <w:color w:val="000000"/>
          <w:lang w:eastAsia="en-GB"/>
        </w:rPr>
      </w:pPr>
      <w:r w:rsidRPr="00D64CC3">
        <w:rPr>
          <w:lang w:eastAsia="en-GB"/>
        </w:rPr>
        <w:t>Notwithstanding that this opinion is addressed to the Bank</w:t>
      </w:r>
      <w:r>
        <w:rPr>
          <w:lang w:eastAsia="en-GB"/>
        </w:rPr>
        <w:t xml:space="preserve"> </w:t>
      </w:r>
      <w:r w:rsidRPr="00D64CC3">
        <w:rPr>
          <w:lang w:eastAsia="en-GB"/>
        </w:rPr>
        <w:t xml:space="preserve">, the Bank may disclose (but none of the following shall be entitled to rely upon) this opinion </w:t>
      </w:r>
      <w:r w:rsidR="007C51AB">
        <w:rPr>
          <w:lang w:eastAsia="en-GB"/>
        </w:rPr>
        <w:t xml:space="preserve">to the </w:t>
      </w:r>
      <w:r>
        <w:rPr>
          <w:lang w:eastAsia="en-GB"/>
        </w:rPr>
        <w:t xml:space="preserve">Bank's legal or professional advisers or </w:t>
      </w:r>
      <w:r w:rsidRPr="00D64CC3">
        <w:rPr>
          <w:lang w:eastAsia="en-GB"/>
        </w:rPr>
        <w:t xml:space="preserve">to any relevant </w:t>
      </w:r>
      <w:r w:rsidRPr="00D64CC3">
        <w:rPr>
          <w:color w:val="000000"/>
          <w:lang w:eastAsia="en-GB"/>
        </w:rPr>
        <w:t xml:space="preserve"> national central bank, monetary authority or regulatory or supervisory authority having responsibility for the supervision or oversight of the Participant (or in whose jurisdiction the Participant is carrying on business) or of any payment or securities settlement system or clearing house with which the Participant has an account or of which it is a member or for the purpose of enabling or assisting the Bank to discharge its functions as a monetary authority.</w:t>
      </w:r>
    </w:p>
    <w:p w14:paraId="7DE81D10" w14:textId="37B89298" w:rsidR="0082214D" w:rsidRPr="00D64CC3" w:rsidRDefault="0082214D" w:rsidP="0082214D">
      <w:pPr>
        <w:pStyle w:val="BodyText"/>
        <w:rPr>
          <w:color w:val="000000"/>
          <w:lang w:eastAsia="en-GB"/>
        </w:rPr>
      </w:pPr>
      <w:r w:rsidRPr="00D64CC3">
        <w:rPr>
          <w:color w:val="000000"/>
          <w:lang w:eastAsia="en-GB"/>
        </w:rPr>
        <w:t>Yours faithfully</w:t>
      </w:r>
      <w:r w:rsidR="00942329">
        <w:rPr>
          <w:color w:val="000000"/>
          <w:lang w:eastAsia="en-GB"/>
        </w:rPr>
        <w:t>,</w:t>
      </w:r>
    </w:p>
    <w:p w14:paraId="4CAFE772" w14:textId="77777777" w:rsidR="0082214D" w:rsidRPr="00D64CC3" w:rsidRDefault="0082214D" w:rsidP="0082214D">
      <w:pPr>
        <w:pStyle w:val="FWSL1"/>
      </w:pPr>
      <w:r w:rsidRPr="00D64CC3">
        <w:br/>
        <w:t>assumptions</w:t>
      </w:r>
      <w:r>
        <w:rPr>
          <w:rStyle w:val="FootnoteReference"/>
        </w:rPr>
        <w:footnoteReference w:id="12"/>
      </w:r>
    </w:p>
    <w:p w14:paraId="134EEB57" w14:textId="77777777" w:rsidR="0082214D" w:rsidRPr="00D64CC3" w:rsidRDefault="0082214D" w:rsidP="0082214D">
      <w:pPr>
        <w:pStyle w:val="BodyText"/>
      </w:pPr>
      <w:r w:rsidRPr="00D64CC3">
        <w:t>In considering any Loan Transaction between the Participant and the Bank pursuant to the Terms and Conditions and in rendering this opinion we have (with your consent and without any further enquiry) assumed:</w:t>
      </w:r>
    </w:p>
    <w:p w14:paraId="55A723CC" w14:textId="77777777" w:rsidR="0082214D" w:rsidRPr="00D64CC3" w:rsidRDefault="0082214D" w:rsidP="0082214D">
      <w:pPr>
        <w:pStyle w:val="ParaHeading"/>
        <w:keepLines w:val="0"/>
      </w:pPr>
      <w:r w:rsidRPr="00D64CC3">
        <w:t>General Matters</w:t>
      </w:r>
    </w:p>
    <w:p w14:paraId="081535FC" w14:textId="77777777" w:rsidR="0082214D" w:rsidRPr="00D64CC3" w:rsidRDefault="0082214D" w:rsidP="0082214D">
      <w:pPr>
        <w:pStyle w:val="BodyText"/>
      </w:pPr>
      <w:r w:rsidRPr="00D64CC3">
        <w:rPr>
          <w:b/>
          <w:i/>
        </w:rPr>
        <w:t>Filings under Other Laws:</w:t>
      </w:r>
      <w:r w:rsidRPr="00D64CC3">
        <w:t xml:space="preserve"> that all consents, licences, approvals, notices, filings, recordations, publications and registrations which are necessary under any applicable laws (other than, in relation to the Participant, the laws of </w:t>
      </w:r>
      <w:r>
        <w:t>Scotland</w:t>
      </w:r>
      <w:r w:rsidRPr="00D64CC3">
        <w:t>) in order to permit the execution, delivery or performance of any Loan Transaction in accordance with the Terms and Conditions, or to perfect, protect or preserve any of the interests created by the Terms and Conditions, will be made or will be obtained at the date on which any [Loan Transaction is entered into by the Participant and the Bank</w:t>
      </w:r>
      <w:r w:rsidRPr="00A0699E">
        <w:rPr>
          <w:lang w:eastAsia="en-GB"/>
        </w:rPr>
        <w:t xml:space="preserve"> </w:t>
      </w:r>
      <w:r w:rsidRPr="00D64CC3">
        <w:t>or will be made or will be obtained within the period permitted by such laws or regulations;</w:t>
      </w:r>
    </w:p>
    <w:p w14:paraId="30C4B51A" w14:textId="77777777" w:rsidR="0082214D" w:rsidRPr="00D64CC3" w:rsidRDefault="0082214D" w:rsidP="0082214D">
      <w:pPr>
        <w:pStyle w:val="BodyText"/>
      </w:pPr>
      <w:r w:rsidRPr="00D64CC3">
        <w:rPr>
          <w:b/>
          <w:i/>
        </w:rPr>
        <w:t>Conditions Precedent:</w:t>
      </w:r>
      <w:r w:rsidRPr="00D64CC3">
        <w:t xml:space="preserve"> that all conditions precedent contained in the Terms and Conditions will be satisfied at the time that any Loan Transaction is entered into by the Participant and the Bank;</w:t>
      </w:r>
    </w:p>
    <w:p w14:paraId="056474E6" w14:textId="29713536" w:rsidR="0082214D" w:rsidRPr="00D64CC3" w:rsidRDefault="0082214D" w:rsidP="0082214D">
      <w:pPr>
        <w:pStyle w:val="BodyText"/>
      </w:pPr>
      <w:r w:rsidRPr="00A81F3E">
        <w:rPr>
          <w:b/>
          <w:i/>
        </w:rPr>
        <w:t xml:space="preserve">Legal, Valid and Binding Obligations in respect of [Mortgage] Loans governed by Other Laws: </w:t>
      </w:r>
      <w:r w:rsidRPr="00527C40">
        <w:t>any [Mortgage] Loans, [Mortgages,] the other Related Security and the Assigned Rights governed by English or Northern Irish law to be transferred to the Bank under any Loan Transaction, will be legally valid and binding obligations of each of the obligors in respect thereof, which are or will be enforceable under the laws of Northern Ireland or England and Wales (as applicable) against such persons in accordance with their terms (subject to limitations arising from the generally applicable mandatory rules of law) (as to which we refer you to the representations and warranties set out in [paragraphs 4 and</w:t>
      </w:r>
      <w:r w:rsidR="00527C40">
        <w:t xml:space="preserve"> </w:t>
      </w:r>
      <w:r w:rsidR="00F15248">
        <w:t xml:space="preserve">18 </w:t>
      </w:r>
      <w:r w:rsidRPr="00A81F3E">
        <w:t xml:space="preserve">of Schedule </w:t>
      </w:r>
      <w:r w:rsidR="00CF0522" w:rsidRPr="00527C40">
        <w:t>6</w:t>
      </w:r>
      <w:r w:rsidRPr="00527C40">
        <w:t xml:space="preserve"> (</w:t>
      </w:r>
      <w:r w:rsidRPr="00527C40">
        <w:rPr>
          <w:i/>
        </w:rPr>
        <w:t>Loan Representations and Warranties</w:t>
      </w:r>
      <w:r w:rsidRPr="00527C40">
        <w:t xml:space="preserve">) to the </w:t>
      </w:r>
      <w:r w:rsidR="00527C40">
        <w:t>Annex</w:t>
      </w:r>
      <w:r w:rsidR="000E3220">
        <w:t>es</w:t>
      </w:r>
      <w:r w:rsidR="00527C40">
        <w:t xml:space="preserve"> </w:t>
      </w:r>
      <w:r w:rsidR="00431556">
        <w:t>[</w:t>
      </w:r>
      <w:r w:rsidRPr="00527C40">
        <w:t>(Assignment)</w:t>
      </w:r>
      <w:r w:rsidR="00431556">
        <w:t>]</w:t>
      </w:r>
      <w:r w:rsidR="00157B21">
        <w:t>]</w:t>
      </w:r>
      <w:r w:rsidRPr="00527C40">
        <w:t xml:space="preserve">/[paragraphs 4 and </w:t>
      </w:r>
      <w:r w:rsidR="00527C40" w:rsidRPr="00942329">
        <w:t xml:space="preserve">18 </w:t>
      </w:r>
      <w:r w:rsidRPr="00A81F3E">
        <w:t xml:space="preserve">of Schedule </w:t>
      </w:r>
      <w:r w:rsidR="007952BE">
        <w:t>4</w:t>
      </w:r>
      <w:r w:rsidRPr="00527C40">
        <w:t xml:space="preserve"> (</w:t>
      </w:r>
      <w:r w:rsidRPr="00D96F2D">
        <w:rPr>
          <w:i/>
        </w:rPr>
        <w:t>Loan Representations and Warranties</w:t>
      </w:r>
      <w:r w:rsidRPr="00527C40">
        <w:t>) to the Annex</w:t>
      </w:r>
      <w:r w:rsidR="00175C81" w:rsidRPr="00527C40">
        <w:t>es</w:t>
      </w:r>
      <w:r w:rsidRPr="00527C40">
        <w:t xml:space="preserve"> </w:t>
      </w:r>
      <w:r w:rsidR="00431556">
        <w:t>[</w:t>
      </w:r>
      <w:r w:rsidRPr="00527C40">
        <w:t>(Trust)</w:t>
      </w:r>
      <w:r w:rsidR="00431556">
        <w:t>]</w:t>
      </w:r>
      <w:r w:rsidR="007D1A70">
        <w:t>]</w:t>
      </w:r>
      <w:r w:rsidRPr="00527C40">
        <w:rPr>
          <w:rStyle w:val="FootnoteReference"/>
        </w:rPr>
        <w:footnoteReference w:id="13"/>
      </w:r>
      <w:r w:rsidRPr="00527C40">
        <w:t xml:space="preserve">); </w:t>
      </w:r>
      <w:r w:rsidR="00EB71EA" w:rsidRPr="00527C40">
        <w:rPr>
          <w:rStyle w:val="FootnoteReference"/>
        </w:rPr>
        <w:footnoteReference w:id="14"/>
      </w:r>
    </w:p>
    <w:p w14:paraId="79E555D8" w14:textId="77777777" w:rsidR="0082214D" w:rsidRPr="00D64CC3" w:rsidRDefault="0082214D" w:rsidP="0082214D">
      <w:pPr>
        <w:pStyle w:val="BodyText"/>
      </w:pPr>
      <w:r w:rsidRPr="00D64CC3">
        <w:rPr>
          <w:b/>
          <w:i/>
        </w:rPr>
        <w:t xml:space="preserve">Legal, </w:t>
      </w:r>
      <w:r>
        <w:rPr>
          <w:b/>
          <w:i/>
        </w:rPr>
        <w:t>V</w:t>
      </w:r>
      <w:r w:rsidRPr="00D64CC3">
        <w:rPr>
          <w:b/>
          <w:i/>
        </w:rPr>
        <w:t xml:space="preserve">alid and </w:t>
      </w:r>
      <w:r>
        <w:rPr>
          <w:b/>
          <w:i/>
        </w:rPr>
        <w:t>B</w:t>
      </w:r>
      <w:r w:rsidRPr="00D64CC3">
        <w:rPr>
          <w:b/>
          <w:i/>
        </w:rPr>
        <w:t xml:space="preserve">inding </w:t>
      </w:r>
      <w:r>
        <w:rPr>
          <w:b/>
          <w:i/>
        </w:rPr>
        <w:t>O</w:t>
      </w:r>
      <w:r w:rsidRPr="00D64CC3">
        <w:rPr>
          <w:b/>
          <w:i/>
        </w:rPr>
        <w:t xml:space="preserve">bligations in respect of </w:t>
      </w:r>
      <w:r>
        <w:rPr>
          <w:b/>
          <w:i/>
        </w:rPr>
        <w:t>Loan Transactions</w:t>
      </w:r>
      <w:r w:rsidRPr="00D64CC3">
        <w:rPr>
          <w:b/>
          <w:i/>
        </w:rPr>
        <w:t xml:space="preserve">: </w:t>
      </w:r>
      <w:r w:rsidRPr="00D64CC3">
        <w:t xml:space="preserve">any </w:t>
      </w:r>
      <w:r>
        <w:t xml:space="preserve">document governed by English law or Northern Irish law entered into in connection with a Loan Transaction </w:t>
      </w:r>
      <w:r w:rsidRPr="00D64CC3">
        <w:t xml:space="preserve">will </w:t>
      </w:r>
      <w:r>
        <w:t xml:space="preserve">constitute </w:t>
      </w:r>
      <w:r w:rsidRPr="00D64CC3">
        <w:t>legal</w:t>
      </w:r>
      <w:r>
        <w:t>,</w:t>
      </w:r>
      <w:r w:rsidRPr="00D64CC3">
        <w:t xml:space="preserve"> valid and binding obligations of the </w:t>
      </w:r>
      <w:r>
        <w:t>parties thereto and</w:t>
      </w:r>
      <w:r w:rsidRPr="00D64CC3">
        <w:t xml:space="preserve"> are</w:t>
      </w:r>
      <w:r>
        <w:t>,</w:t>
      </w:r>
      <w:r w:rsidRPr="00D64CC3">
        <w:t xml:space="preserve"> or will be</w:t>
      </w:r>
      <w:r>
        <w:t>,</w:t>
      </w:r>
      <w:r w:rsidRPr="00D64CC3">
        <w:t xml:space="preserve"> enforceable </w:t>
      </w:r>
      <w:r>
        <w:t xml:space="preserve">under the laws of Northern Ireland or England and Wales (as applicable) </w:t>
      </w:r>
      <w:r w:rsidRPr="00D64CC3">
        <w:t>against such persons in accordance with their terms</w:t>
      </w:r>
      <w:r>
        <w:t xml:space="preserve"> </w:t>
      </w:r>
      <w:r w:rsidRPr="00D64CC3">
        <w:t xml:space="preserve">(subject to limitations arising from the generally applicable mandatory rules of law); </w:t>
      </w:r>
    </w:p>
    <w:p w14:paraId="6E1B4BCF" w14:textId="2EE81C97" w:rsidR="0082214D" w:rsidRPr="00D64CC3" w:rsidRDefault="0082214D" w:rsidP="0082214D">
      <w:pPr>
        <w:pStyle w:val="BodyText"/>
      </w:pPr>
      <w:r w:rsidRPr="00D64CC3">
        <w:rPr>
          <w:b/>
          <w:i/>
        </w:rPr>
        <w:t>Limitations on Security Interests:</w:t>
      </w:r>
      <w:r w:rsidRPr="00D64CC3">
        <w:t xml:space="preserve"> that the Participant has not disposed of and will not dispose of any interest in, and has not created and will not create any security interest over or in respect of, the [Mortgage] Loans or the Related Security or the Assigned Rights or over or in respect of any of its interest, right or benefit subject to any Loan Transaction or any of its bank accounts or any of its other assets, rights, property or undertaking (other than as permitted to do so under the Terms and Conditions in respect of any Loan Transaction)</w:t>
      </w:r>
      <w:r w:rsidRPr="000B79F7">
        <w:t xml:space="preserve"> </w:t>
      </w:r>
      <w:r w:rsidRPr="00D64CC3">
        <w:t xml:space="preserve">(as to which we refer you to the warranty of the Participant at </w:t>
      </w:r>
      <w:r>
        <w:t>[</w:t>
      </w:r>
      <w:r w:rsidRPr="00D64CC3">
        <w:t xml:space="preserve">paragraph 3 of Schedule </w:t>
      </w:r>
      <w:r>
        <w:t>6</w:t>
      </w:r>
      <w:r w:rsidRPr="00D64CC3">
        <w:t xml:space="preserve"> (</w:t>
      </w:r>
      <w:r w:rsidRPr="00D64CC3">
        <w:rPr>
          <w:i/>
        </w:rPr>
        <w:t>Loan</w:t>
      </w:r>
      <w:r>
        <w:rPr>
          <w:i/>
        </w:rPr>
        <w:t xml:space="preserve"> Representations and</w:t>
      </w:r>
      <w:r w:rsidRPr="00D64CC3">
        <w:rPr>
          <w:i/>
        </w:rPr>
        <w:t xml:space="preserve"> Warranties</w:t>
      </w:r>
      <w:r w:rsidRPr="00D64CC3">
        <w:t>) to the Annex</w:t>
      </w:r>
      <w:r w:rsidR="00175C81">
        <w:t>es</w:t>
      </w:r>
      <w:r w:rsidRPr="00D64CC3">
        <w:t xml:space="preserve"> </w:t>
      </w:r>
      <w:r w:rsidR="007D1A70">
        <w:t>[</w:t>
      </w:r>
      <w:r>
        <w:t>(Assignment)</w:t>
      </w:r>
      <w:r w:rsidR="007D1A70">
        <w:t>]</w:t>
      </w:r>
      <w:r w:rsidR="00157B21">
        <w:t>]</w:t>
      </w:r>
      <w:r>
        <w:t>/[</w:t>
      </w:r>
      <w:r w:rsidRPr="00D64CC3">
        <w:t xml:space="preserve">paragraph 3 of Schedule </w:t>
      </w:r>
      <w:r>
        <w:t>4</w:t>
      </w:r>
      <w:r w:rsidRPr="00D64CC3">
        <w:t xml:space="preserve"> (</w:t>
      </w:r>
      <w:r w:rsidRPr="00D64CC3">
        <w:rPr>
          <w:i/>
        </w:rPr>
        <w:t>Loan</w:t>
      </w:r>
      <w:r>
        <w:rPr>
          <w:i/>
        </w:rPr>
        <w:t xml:space="preserve"> Representations and </w:t>
      </w:r>
      <w:r w:rsidRPr="00D64CC3">
        <w:rPr>
          <w:i/>
        </w:rPr>
        <w:t xml:space="preserve"> Warranties</w:t>
      </w:r>
      <w:r w:rsidRPr="00D64CC3">
        <w:t>) to the Annex</w:t>
      </w:r>
      <w:r w:rsidR="00175C81">
        <w:t>es</w:t>
      </w:r>
      <w:r w:rsidRPr="00D64CC3">
        <w:t xml:space="preserve"> </w:t>
      </w:r>
      <w:r w:rsidR="007D1A70">
        <w:t>[</w:t>
      </w:r>
      <w:r w:rsidRPr="00D64CC3">
        <w:t>(Trust)</w:t>
      </w:r>
      <w:r>
        <w:t>]</w:t>
      </w:r>
      <w:r w:rsidR="007D1A70">
        <w:t>]</w:t>
      </w:r>
      <w:r w:rsidRPr="00D64CC3">
        <w:rPr>
          <w:rStyle w:val="FootnoteReference"/>
        </w:rPr>
        <w:footnoteReference w:id="15"/>
      </w:r>
      <w:r w:rsidRPr="00D64CC3">
        <w:t xml:space="preserve">; </w:t>
      </w:r>
    </w:p>
    <w:p w14:paraId="28382648" w14:textId="77777777" w:rsidR="0082214D" w:rsidRPr="00D64CC3" w:rsidRDefault="0082214D" w:rsidP="0082214D">
      <w:pPr>
        <w:pStyle w:val="BodyText"/>
      </w:pPr>
      <w:r w:rsidRPr="00D64CC3">
        <w:t>[</w:t>
      </w:r>
      <w:r w:rsidRPr="00D64CC3">
        <w:rPr>
          <w:b/>
          <w:i/>
        </w:rPr>
        <w:t xml:space="preserve">Valid </w:t>
      </w:r>
      <w:r>
        <w:rPr>
          <w:b/>
          <w:i/>
        </w:rPr>
        <w:t>Transfer of Beneficial Ownership</w:t>
      </w:r>
      <w:r w:rsidRPr="00D64CC3">
        <w:rPr>
          <w:b/>
          <w:i/>
        </w:rPr>
        <w:t>:</w:t>
      </w:r>
      <w:r w:rsidRPr="00D64CC3">
        <w:t xml:space="preserve"> under all applicable laws (other than the laws of </w:t>
      </w:r>
      <w:r>
        <w:t>Scotland</w:t>
      </w:r>
      <w:r w:rsidRPr="00D64CC3">
        <w:t xml:space="preserve">) the transfer </w:t>
      </w:r>
      <w:r>
        <w:t xml:space="preserve">[by way of assignment]/[by way of declaration of trust] </w:t>
      </w:r>
      <w:r w:rsidRPr="00D64CC3">
        <w:t>of [Mortgage] Loans, Related Security and Assigned Rights in respect of any [Loan Transaction results in a transfer of full beneficial ownership and risk from the Participant to the Bank</w:t>
      </w:r>
      <w:r>
        <w:t xml:space="preserve"> </w:t>
      </w:r>
      <w:r w:rsidRPr="00D64CC3">
        <w:t>and such sale was the intention of the parties.]</w:t>
      </w:r>
      <w:r w:rsidRPr="00D64CC3">
        <w:rPr>
          <w:rStyle w:val="FootnoteReference"/>
        </w:rPr>
        <w:footnoteReference w:id="16"/>
      </w:r>
      <w:r w:rsidRPr="00D64CC3">
        <w:t xml:space="preserve"> </w:t>
      </w:r>
    </w:p>
    <w:p w14:paraId="0D216928" w14:textId="77777777" w:rsidR="0082214D" w:rsidRPr="00D64CC3" w:rsidRDefault="0082214D" w:rsidP="0082214D">
      <w:pPr>
        <w:pStyle w:val="BodyText"/>
      </w:pPr>
      <w:r w:rsidRPr="00D64CC3">
        <w:t>[</w:t>
      </w:r>
      <w:r w:rsidRPr="00D64CC3">
        <w:rPr>
          <w:b/>
          <w:i/>
        </w:rPr>
        <w:t>Validity of Security Interests:</w:t>
      </w:r>
      <w:r w:rsidRPr="00D64CC3">
        <w:t xml:space="preserve"> the security interest in any [Mortgage] Loan or Related Security or Assigned Rights or over or in respect of any of its interest, right or benefit subject to any Loan Transaction purported to be created pursuant to the Terms and Conditions will at all times constitute, a valid effective, enforceable and fully perfected security interest under the laws by which it is expressed to be governed and all other relevant laws (other than </w:t>
      </w:r>
      <w:r>
        <w:rPr>
          <w:lang w:eastAsia="en-GB"/>
        </w:rPr>
        <w:t xml:space="preserve">Scots </w:t>
      </w:r>
      <w:r w:rsidRPr="00D64CC3">
        <w:rPr>
          <w:lang w:eastAsia="en-GB"/>
        </w:rPr>
        <w:t>law</w:t>
      </w:r>
      <w:r w:rsidRPr="00D64CC3">
        <w:t>) in favour of the Bank to secure the relevant secured obligations.]</w:t>
      </w:r>
      <w:r w:rsidRPr="00D64CC3">
        <w:rPr>
          <w:rStyle w:val="FootnoteReference"/>
        </w:rPr>
        <w:footnoteReference w:id="17"/>
      </w:r>
    </w:p>
    <w:p w14:paraId="55CBE491" w14:textId="77777777" w:rsidR="0082214D" w:rsidRPr="00D64CC3" w:rsidRDefault="0082214D" w:rsidP="0082214D">
      <w:pPr>
        <w:pStyle w:val="BodyText"/>
      </w:pPr>
      <w:r w:rsidRPr="00D64CC3">
        <w:rPr>
          <w:b/>
          <w:i/>
        </w:rPr>
        <w:t>Standard Loan Documentation:</w:t>
      </w:r>
      <w:r w:rsidRPr="00D64CC3">
        <w:t xml:space="preserve"> in considering the </w:t>
      </w:r>
      <w:r>
        <w:t>S</w:t>
      </w:r>
      <w:r w:rsidRPr="00D64CC3">
        <w:t xml:space="preserve">tandard </w:t>
      </w:r>
      <w:r>
        <w:t>L</w:t>
      </w:r>
      <w:r w:rsidRPr="00D64CC3">
        <w:t xml:space="preserve">oan </w:t>
      </w:r>
      <w:r>
        <w:t>D</w:t>
      </w:r>
      <w:r w:rsidRPr="00D64CC3">
        <w:t>ocumentation and in rendering the opinions expressed in this opinion, we have with your consent and without further enquiry assumed for all purposes of this opinion the following matters:</w:t>
      </w:r>
    </w:p>
    <w:p w14:paraId="0A0C81FE" w14:textId="345111A6" w:rsidR="0082214D" w:rsidRPr="00D64CC3" w:rsidRDefault="0082214D" w:rsidP="0082214D">
      <w:pPr>
        <w:pStyle w:val="BodyText"/>
        <w:ind w:left="1440" w:hanging="720"/>
      </w:pPr>
      <w:r w:rsidRPr="00D64CC3">
        <w:t>(i)</w:t>
      </w:r>
      <w:r w:rsidRPr="00D64CC3">
        <w:tab/>
        <w:t>that each [Mortgage] Loan [and Mortgage] included in the Proposed Portfolio for any Loan Transaction is evidenced by an agreement or deed in the form of the appropriate</w:t>
      </w:r>
      <w:r>
        <w:t xml:space="preserve"> S</w:t>
      </w:r>
      <w:r w:rsidRPr="00D64CC3">
        <w:t xml:space="preserve">tandard </w:t>
      </w:r>
      <w:r>
        <w:t>L</w:t>
      </w:r>
      <w:r w:rsidRPr="00D64CC3">
        <w:t xml:space="preserve">oan </w:t>
      </w:r>
      <w:r>
        <w:t>D</w:t>
      </w:r>
      <w:r w:rsidRPr="00D64CC3">
        <w:t>ocumentation, which agreement or deed has not been amended in any way at any time prior to execution thereof by the borrower and by or on behalf of the Participant, and that all the information required to be included in order to complete each agreement in accordance with the applicable standard loan documentation is or was (at the time of completion of that agreement or deed) correctly included (as to which we refer you to [paragraph 1</w:t>
      </w:r>
      <w:r w:rsidR="0053545C">
        <w:t>3</w:t>
      </w:r>
      <w:r w:rsidRPr="00D64CC3">
        <w:t xml:space="preserve"> of Schedule</w:t>
      </w:r>
      <w:r>
        <w:t xml:space="preserve"> 6</w:t>
      </w:r>
      <w:r w:rsidRPr="00D64CC3">
        <w:t xml:space="preserve"> (</w:t>
      </w:r>
      <w:r w:rsidRPr="00D64CC3">
        <w:rPr>
          <w:i/>
        </w:rPr>
        <w:t xml:space="preserve">Loan </w:t>
      </w:r>
      <w:r>
        <w:rPr>
          <w:i/>
        </w:rPr>
        <w:t xml:space="preserve">Representations and </w:t>
      </w:r>
      <w:r w:rsidRPr="00D64CC3">
        <w:rPr>
          <w:i/>
        </w:rPr>
        <w:t>Warranties</w:t>
      </w:r>
      <w:r w:rsidRPr="00D64CC3">
        <w:t>) to the Annex</w:t>
      </w:r>
      <w:r w:rsidR="00175C81">
        <w:t>es</w:t>
      </w:r>
      <w:r w:rsidRPr="00D64CC3">
        <w:t xml:space="preserve"> </w:t>
      </w:r>
      <w:r w:rsidR="007D1A70">
        <w:t>[</w:t>
      </w:r>
      <w:r w:rsidRPr="00D64CC3">
        <w:t>(Assignment)</w:t>
      </w:r>
      <w:r w:rsidR="007D1A70">
        <w:t>]</w:t>
      </w:r>
      <w:r w:rsidRPr="00D64CC3">
        <w:t>/ paragraph 1</w:t>
      </w:r>
      <w:r w:rsidR="0053545C">
        <w:t>3</w:t>
      </w:r>
      <w:r w:rsidRPr="00D64CC3">
        <w:t xml:space="preserve"> of Schedule </w:t>
      </w:r>
      <w:r>
        <w:t xml:space="preserve">4 </w:t>
      </w:r>
      <w:r w:rsidRPr="00D64CC3">
        <w:t>(</w:t>
      </w:r>
      <w:r w:rsidRPr="00D64CC3">
        <w:rPr>
          <w:i/>
        </w:rPr>
        <w:t>Loan</w:t>
      </w:r>
      <w:r>
        <w:rPr>
          <w:i/>
        </w:rPr>
        <w:t xml:space="preserve"> Representations and</w:t>
      </w:r>
      <w:r w:rsidRPr="00D64CC3">
        <w:rPr>
          <w:i/>
        </w:rPr>
        <w:t xml:space="preserve"> Warranties</w:t>
      </w:r>
      <w:r w:rsidRPr="00D64CC3">
        <w:t>) to the Annex</w:t>
      </w:r>
      <w:r w:rsidR="00175C81">
        <w:t>es</w:t>
      </w:r>
      <w:r w:rsidRPr="00D64CC3">
        <w:t xml:space="preserve"> </w:t>
      </w:r>
      <w:r w:rsidR="007D1A70">
        <w:t>[</w:t>
      </w:r>
      <w:r w:rsidRPr="00D64CC3">
        <w:t>(Trust)</w:t>
      </w:r>
      <w:r w:rsidR="007D1A70">
        <w:t>]</w:t>
      </w:r>
      <w:r>
        <w:t>]</w:t>
      </w:r>
      <w:r w:rsidR="008A665F">
        <w:t>)</w:t>
      </w:r>
      <w:bookmarkStart w:id="2" w:name="_GoBack"/>
      <w:bookmarkEnd w:id="2"/>
      <w:r w:rsidRPr="00D64CC3">
        <w:rPr>
          <w:rStyle w:val="FootnoteReference"/>
        </w:rPr>
        <w:footnoteReference w:id="18"/>
      </w:r>
      <w:r w:rsidRPr="00D64CC3">
        <w:t>;</w:t>
      </w:r>
    </w:p>
    <w:p w14:paraId="1CE3B5A8" w14:textId="141C06B7" w:rsidR="0082214D" w:rsidRPr="00D64CC3" w:rsidRDefault="0082214D" w:rsidP="0082214D">
      <w:pPr>
        <w:pStyle w:val="BodyText"/>
        <w:ind w:left="1440" w:hanging="720"/>
      </w:pPr>
      <w:r w:rsidRPr="00D64CC3">
        <w:t>(ii)</w:t>
      </w:r>
      <w:r w:rsidRPr="00D64CC3">
        <w:tab/>
        <w:t>the lack of bad faith and absence of fraud, coercion, duress or undue influence on the part of any party to the agreements evidencing the [Mortgage] Loans [and the Mortgages], or their respective directors, employees or agents (as to which we refer you to [paragraph 1</w:t>
      </w:r>
      <w:r w:rsidR="00863D29">
        <w:t>6</w:t>
      </w:r>
      <w:r w:rsidRPr="00D64CC3">
        <w:t xml:space="preserve"> of Schedule </w:t>
      </w:r>
      <w:r>
        <w:t>6</w:t>
      </w:r>
      <w:r w:rsidRPr="00D64CC3">
        <w:t xml:space="preserve"> (</w:t>
      </w:r>
      <w:r w:rsidRPr="00D64CC3">
        <w:rPr>
          <w:i/>
        </w:rPr>
        <w:t xml:space="preserve">Loan </w:t>
      </w:r>
      <w:r>
        <w:rPr>
          <w:i/>
        </w:rPr>
        <w:t>Representations and</w:t>
      </w:r>
      <w:r w:rsidRPr="00D64CC3">
        <w:rPr>
          <w:i/>
        </w:rPr>
        <w:t xml:space="preserve"> Warranties</w:t>
      </w:r>
      <w:r>
        <w:t xml:space="preserve">) to the </w:t>
      </w:r>
      <w:r w:rsidRPr="00D64CC3">
        <w:t>Annex</w:t>
      </w:r>
      <w:r w:rsidR="00175C81">
        <w:t>es</w:t>
      </w:r>
      <w:r w:rsidRPr="00D64CC3">
        <w:t xml:space="preserve"> </w:t>
      </w:r>
      <w:r w:rsidR="007D1A70">
        <w:t>[</w:t>
      </w:r>
      <w:r w:rsidRPr="00D64CC3">
        <w:t>(Assignment)</w:t>
      </w:r>
      <w:r w:rsidR="007D1A70">
        <w:t>]</w:t>
      </w:r>
      <w:r w:rsidRPr="00D64CC3">
        <w:t>/paragraph 1</w:t>
      </w:r>
      <w:r w:rsidR="00863D29">
        <w:t>6</w:t>
      </w:r>
      <w:r w:rsidRPr="00D64CC3">
        <w:t xml:space="preserve"> of Schedule </w:t>
      </w:r>
      <w:r>
        <w:t>4</w:t>
      </w:r>
      <w:r w:rsidRPr="00D64CC3">
        <w:t xml:space="preserve"> (</w:t>
      </w:r>
      <w:r w:rsidRPr="00D64CC3">
        <w:rPr>
          <w:i/>
        </w:rPr>
        <w:t xml:space="preserve">Loan </w:t>
      </w:r>
      <w:r>
        <w:rPr>
          <w:i/>
        </w:rPr>
        <w:t>Representations and</w:t>
      </w:r>
      <w:r w:rsidRPr="00D64CC3">
        <w:rPr>
          <w:i/>
        </w:rPr>
        <w:t xml:space="preserve"> Warranties</w:t>
      </w:r>
      <w:r w:rsidRPr="00D64CC3">
        <w:t>) to the Annex</w:t>
      </w:r>
      <w:r w:rsidR="00175C81">
        <w:t>es</w:t>
      </w:r>
      <w:r w:rsidRPr="00D64CC3">
        <w:t xml:space="preserve"> </w:t>
      </w:r>
      <w:r w:rsidR="007D1A70">
        <w:t>[</w:t>
      </w:r>
      <w:r w:rsidRPr="00D64CC3">
        <w:t>(Trust)</w:t>
      </w:r>
      <w:r w:rsidR="007D1A70">
        <w:t>]</w:t>
      </w:r>
      <w:r w:rsidRPr="00D64CC3">
        <w:t>]</w:t>
      </w:r>
      <w:r w:rsidR="008A665F">
        <w:t>)</w:t>
      </w:r>
      <w:r w:rsidRPr="00D64CC3">
        <w:rPr>
          <w:rStyle w:val="FootnoteReference"/>
        </w:rPr>
        <w:footnoteReference w:id="19"/>
      </w:r>
      <w:r w:rsidRPr="00D64CC3">
        <w:t>;</w:t>
      </w:r>
    </w:p>
    <w:p w14:paraId="66BCB356" w14:textId="77777777" w:rsidR="0082214D" w:rsidRPr="00D64CC3" w:rsidRDefault="0082214D" w:rsidP="0082214D">
      <w:pPr>
        <w:pStyle w:val="BodyText"/>
        <w:ind w:left="1440" w:hanging="720"/>
      </w:pPr>
      <w:r w:rsidRPr="00D64CC3">
        <w:t>(iii)</w:t>
      </w:r>
      <w:r w:rsidRPr="00D64CC3">
        <w:tab/>
        <w:t xml:space="preserve">insofar as any obligation under the agreements entered into in the form of the </w:t>
      </w:r>
      <w:r>
        <w:t>S</w:t>
      </w:r>
      <w:r w:rsidRPr="00D64CC3">
        <w:t xml:space="preserve">tandard </w:t>
      </w:r>
      <w:r>
        <w:t>L</w:t>
      </w:r>
      <w:r w:rsidRPr="00D64CC3">
        <w:t xml:space="preserve">oan </w:t>
      </w:r>
      <w:r>
        <w:t>D</w:t>
      </w:r>
      <w:r w:rsidRPr="00D64CC3">
        <w:t xml:space="preserve">ocumentation falls to be performed in any jurisdiction outside </w:t>
      </w:r>
      <w:r>
        <w:t>of Scotland</w:t>
      </w:r>
      <w:r w:rsidRPr="00D64CC3">
        <w:t>, its performance will not be illegal or ineffective by virtue of the laws of that jurisdiction;</w:t>
      </w:r>
      <w:r>
        <w:t xml:space="preserve"> and</w:t>
      </w:r>
    </w:p>
    <w:p w14:paraId="7038EB1E" w14:textId="77777777" w:rsidR="0082214D" w:rsidRDefault="0082214D" w:rsidP="0082214D">
      <w:pPr>
        <w:pStyle w:val="BodyText"/>
        <w:numPr>
          <w:ilvl w:val="0"/>
          <w:numId w:val="48"/>
        </w:numPr>
      </w:pPr>
      <w:r w:rsidRPr="00D64CC3">
        <w:t xml:space="preserve">there is no provision of the laws of any jurisdiction outside </w:t>
      </w:r>
      <w:r>
        <w:t xml:space="preserve">Scotland </w:t>
      </w:r>
      <w:r w:rsidRPr="00D64CC3">
        <w:t xml:space="preserve">which would be contravened by the execution of agreements or deeds in the form of the </w:t>
      </w:r>
      <w:r>
        <w:t>S</w:t>
      </w:r>
      <w:r w:rsidRPr="00D64CC3">
        <w:t xml:space="preserve">tandard </w:t>
      </w:r>
      <w:r>
        <w:t>L</w:t>
      </w:r>
      <w:r w:rsidRPr="00D64CC3">
        <w:t xml:space="preserve">oan </w:t>
      </w:r>
      <w:r>
        <w:t>D</w:t>
      </w:r>
      <w:r w:rsidRPr="00D64CC3">
        <w:t xml:space="preserve">ocumentation and that none of the opinions expressed </w:t>
      </w:r>
      <w:r>
        <w:t>herein</w:t>
      </w:r>
      <w:r w:rsidRPr="00D64CC3">
        <w:t xml:space="preserve"> will be affected by the laws (including the public policy) of any jurisdiction outside </w:t>
      </w:r>
      <w:r>
        <w:t>Scotland.</w:t>
      </w:r>
      <w:r w:rsidRPr="00D64CC3">
        <w:tab/>
      </w:r>
    </w:p>
    <w:p w14:paraId="52A0C7EC" w14:textId="77777777" w:rsidR="0082214D" w:rsidRPr="005A6F62" w:rsidRDefault="0082214D" w:rsidP="0082214D">
      <w:pPr>
        <w:pStyle w:val="BodyText"/>
      </w:pPr>
      <w:r w:rsidRPr="005A6F62">
        <w:rPr>
          <w:b/>
          <w:i/>
        </w:rPr>
        <w:t xml:space="preserve">Resolutions etc: </w:t>
      </w:r>
      <w:r w:rsidRPr="005A6F62">
        <w:t>that the resolutions and matters stated therein and all other corporate records and other documents examined by us are genuine, complete, up to date and accurate, that such resolutions correctly record the respective business of, and resolutions passed at, duly constituted meetings of the directors and, as applicable, a committee of the directors of the Participant or otherwise correctly record another delegation of authority by the Participant and have not been varied or revoked;</w:t>
      </w:r>
    </w:p>
    <w:p w14:paraId="7D228378" w14:textId="77777777" w:rsidR="0082214D" w:rsidRDefault="0082214D" w:rsidP="0082214D">
      <w:pPr>
        <w:pStyle w:val="BodyText"/>
      </w:pPr>
      <w:r w:rsidRPr="005A6F62">
        <w:rPr>
          <w:b/>
          <w:i/>
        </w:rPr>
        <w:t xml:space="preserve">Entire documentation: </w:t>
      </w:r>
      <w:r w:rsidRPr="005A6F62">
        <w:t xml:space="preserve">that the </w:t>
      </w:r>
      <w:r>
        <w:t>d</w:t>
      </w:r>
      <w:r w:rsidRPr="005A6F62">
        <w:t xml:space="preserve">ocumentation </w:t>
      </w:r>
      <w:r>
        <w:t xml:space="preserve">referred to herein </w:t>
      </w:r>
      <w:r w:rsidRPr="005A6F62">
        <w:t>represents and contains the entirety of the documents entered into by the parties thereto in connection with the transactions contemplated thereby and that where a document has been examined by us in draft or specimen form, it will be or has been executed in the form of that draft or specimen (without amendment, whether orally, in writing or by the conduct of the parties);</w:t>
      </w:r>
    </w:p>
    <w:p w14:paraId="301A9186" w14:textId="77777777" w:rsidR="0082214D" w:rsidRPr="00BD3A19" w:rsidRDefault="0082214D" w:rsidP="0082214D">
      <w:pPr>
        <w:pStyle w:val="BodyText"/>
      </w:pPr>
      <w:r>
        <w:rPr>
          <w:b/>
          <w:i/>
        </w:rPr>
        <w:t xml:space="preserve">Winding Up </w:t>
      </w:r>
      <w:r w:rsidRPr="00BD3A19">
        <w:rPr>
          <w:b/>
          <w:i/>
        </w:rPr>
        <w:t>Enquiry:</w:t>
      </w:r>
      <w:r>
        <w:t xml:space="preserve"> that the information revealed by the winding up and administration enquiry at the Court of Session referred to in paragraph (a) of this letter was accurate in all respects and has not since the time of such enquiry been altered;</w:t>
      </w:r>
    </w:p>
    <w:p w14:paraId="064D9022" w14:textId="77777777" w:rsidR="0082214D" w:rsidRDefault="0082214D" w:rsidP="0082214D">
      <w:pPr>
        <w:pStyle w:val="BodyText"/>
      </w:pPr>
      <w:r w:rsidRPr="005A6F62">
        <w:rPr>
          <w:b/>
          <w:i/>
        </w:rPr>
        <w:t xml:space="preserve">Searches: </w:t>
      </w:r>
      <w:r w:rsidRPr="005A6F62">
        <w:t xml:space="preserve">that the information disclosed by our searches referred to in </w:t>
      </w:r>
      <w:r>
        <w:t>[paragraph (a) on page [2] of this letter]</w:t>
      </w:r>
      <w:r w:rsidRPr="005A6F62">
        <w:t xml:space="preserve"> in relation to the Participant were accurate as at the dates stated and have not been altered since such dates and that such searches did not fail to disclose any information which had been delivered for registration but did not appear from the information available at the time of our searches;</w:t>
      </w:r>
    </w:p>
    <w:p w14:paraId="689F22A5" w14:textId="77777777" w:rsidR="0082214D" w:rsidRPr="005A6F62" w:rsidRDefault="0082214D" w:rsidP="0082214D">
      <w:pPr>
        <w:pStyle w:val="BodyText"/>
      </w:pPr>
      <w:r w:rsidRPr="005A6F62">
        <w:rPr>
          <w:b/>
          <w:i/>
        </w:rPr>
        <w:t>Conflict:</w:t>
      </w:r>
      <w:r w:rsidRPr="005A6F62">
        <w:t xml:space="preserve"> </w:t>
      </w:r>
      <w:r>
        <w:t xml:space="preserve">without prejudice to our opinions in paragraph (c) above, </w:t>
      </w:r>
      <w:r w:rsidRPr="005A6F62">
        <w:t xml:space="preserve">that none of the transactions envisaged by the Documentation nor the entry into them by the Participant </w:t>
      </w:r>
      <w:r>
        <w:t>are affected in any way by</w:t>
      </w:r>
      <w:r w:rsidRPr="005A6F62">
        <w:t xml:space="preserve"> the terms of any instrument, agreement or order to which the Participant is a party or by which any of its property, undertakin</w:t>
      </w:r>
      <w:r>
        <w:t>g, assets or revenues are bound.</w:t>
      </w:r>
    </w:p>
    <w:p w14:paraId="3C00F9EB" w14:textId="77777777" w:rsidR="0082214D" w:rsidRPr="00D64CC3" w:rsidRDefault="0082214D" w:rsidP="0082214D">
      <w:pPr>
        <w:pStyle w:val="FWSL1"/>
      </w:pPr>
      <w:r w:rsidRPr="00D64CC3">
        <w:br/>
        <w:t>qualifications</w:t>
      </w:r>
      <w:r>
        <w:rPr>
          <w:rStyle w:val="FootnoteReference"/>
        </w:rPr>
        <w:footnoteReference w:id="20"/>
      </w:r>
    </w:p>
    <w:p w14:paraId="0C808E61" w14:textId="77777777" w:rsidR="0082214D" w:rsidRPr="00D64CC3" w:rsidRDefault="0082214D" w:rsidP="0082214D">
      <w:pPr>
        <w:pStyle w:val="BodyText"/>
      </w:pPr>
      <w:r w:rsidRPr="00D64CC3">
        <w:t>Our opinion is subject to the following qualifications:</w:t>
      </w:r>
    </w:p>
    <w:p w14:paraId="3AE2E931" w14:textId="77777777" w:rsidR="0082214D" w:rsidRPr="00D64CC3" w:rsidRDefault="0082214D" w:rsidP="0082214D">
      <w:pPr>
        <w:pStyle w:val="ParaHeading"/>
      </w:pPr>
      <w:r w:rsidRPr="00D64CC3">
        <w:t>General Matters</w:t>
      </w:r>
    </w:p>
    <w:p w14:paraId="2E18E15B" w14:textId="77777777" w:rsidR="0082214D" w:rsidRDefault="0082214D" w:rsidP="0082214D">
      <w:pPr>
        <w:pStyle w:val="BodyText"/>
      </w:pPr>
      <w:r w:rsidRPr="00D64CC3">
        <w:rPr>
          <w:b/>
          <w:i/>
        </w:rPr>
        <w:t>Enforceability:</w:t>
      </w:r>
      <w:r w:rsidRPr="00D64CC3">
        <w:t xml:space="preserve"> the terms “enforceable” and “enforceability” as used in this opinion indicate that the relevant obligations are of a type for which </w:t>
      </w:r>
      <w:r>
        <w:t xml:space="preserve">Scots </w:t>
      </w:r>
      <w:r w:rsidRPr="00D64CC3">
        <w:t>law generally recognises and enforces; it does not mean that these obligations will necessarily be enforced in all circumstances in accordance with their terms</w:t>
      </w:r>
      <w:r>
        <w:t xml:space="preserve">.  Enforcement may be subject to, </w:t>
      </w:r>
      <w:r w:rsidRPr="000425F7">
        <w:rPr>
          <w:i/>
        </w:rPr>
        <w:t>inter alia</w:t>
      </w:r>
      <w:r>
        <w:t>, the nature of the remedies available in the Scottish courts, the acceptance by such courts of jurisdiction, the power of such courts to sist (i.e. stay) proceedings, sovereign immunity and other principles of general application and all limitations resulting from the laws of bankruptcy, insolvency, liquidation, receivership, moratorium, reorganisation or other laws affecting generally the enforcement of creditors' rights.  "Enforcement" and "enforceability" are to be construed accordingly.  In particular, with respect to enforcement, we note that:</w:t>
      </w:r>
    </w:p>
    <w:p w14:paraId="0B8A30C3" w14:textId="77777777" w:rsidR="0082214D" w:rsidRDefault="0082214D" w:rsidP="0082214D">
      <w:pPr>
        <w:pStyle w:val="BodyText"/>
        <w:ind w:left="720" w:hanging="720"/>
      </w:pPr>
      <w:r>
        <w:t>(a)</w:t>
      </w:r>
      <w:r>
        <w:tab/>
        <w:t xml:space="preserve">a Scottish court will not necessarily grant any remedy, the availability of which is subject to equitable considerations or which is otherwise in the discretion of the court.  </w:t>
      </w:r>
      <w:r w:rsidR="00063C90" w:rsidRPr="00063C90">
        <w:t>In particular, orders for specific implement and interdicts are, in general, discretionary remedies under Scots law whereas an action for payment of a sum due under a contract (executed by way of diligence) is g</w:t>
      </w:r>
      <w:r w:rsidR="00063C90">
        <w:t>enerally available as of right.</w:t>
      </w:r>
      <w:r w:rsidR="00063C90" w:rsidRPr="00063C90">
        <w:t xml:space="preserve">   </w:t>
      </w:r>
    </w:p>
    <w:p w14:paraId="4F7D4E01" w14:textId="77777777" w:rsidR="0082214D" w:rsidRDefault="0082214D" w:rsidP="0082214D">
      <w:pPr>
        <w:pStyle w:val="BodyText"/>
        <w:ind w:left="720" w:hanging="720"/>
      </w:pPr>
      <w:r>
        <w:t>(b)</w:t>
      </w:r>
      <w:r>
        <w:tab/>
        <w:t>claims may become time-barred or prescribe under the Prescription and Limitation (Scotland) Act 1973 or the Foreign Limitation Periods Act 1984 or may be or become subject to defences of set-off or to counterclaim;</w:t>
      </w:r>
    </w:p>
    <w:p w14:paraId="152659CD" w14:textId="77777777" w:rsidR="0082214D" w:rsidRDefault="0082214D" w:rsidP="0082214D">
      <w:pPr>
        <w:pStyle w:val="BodyText"/>
        <w:ind w:left="720" w:hanging="720"/>
      </w:pPr>
      <w:r>
        <w:t>(c)</w:t>
      </w:r>
      <w:r>
        <w:tab/>
        <w:t>where obligations are to be performed in a jurisdiction outside Scotland they may not be enforceable in Scotland to the extent that performance would be illegal under the laws, or contrary to the exchange control regulations, of the other jurisdiction;</w:t>
      </w:r>
    </w:p>
    <w:p w14:paraId="7B4FD45A" w14:textId="77777777" w:rsidR="0082214D" w:rsidRDefault="0082214D" w:rsidP="0082214D">
      <w:pPr>
        <w:pStyle w:val="BodyText"/>
        <w:ind w:left="720" w:hanging="720"/>
      </w:pPr>
      <w:r>
        <w:t>(d)</w:t>
      </w:r>
      <w:r>
        <w:tab/>
        <w:t>there are circumstances in which proceedings in Scottish courts may be set aside or sisted including, without limitation, if the Scottish court considers that there is another more appropriate forum than Scotland, if earlier or concurrent proceedings (including related proceedings) have been commenced elsewhere or if another court has jurisdiction as a result of the application of international or European regulations or conventions, or if there is found to be no effective jurisdiction or choice of court agreement between the parties;</w:t>
      </w:r>
    </w:p>
    <w:p w14:paraId="40927A74" w14:textId="77777777" w:rsidR="0082214D" w:rsidRDefault="0082214D" w:rsidP="0082214D">
      <w:pPr>
        <w:pStyle w:val="BodyText"/>
        <w:ind w:left="720" w:hanging="720"/>
      </w:pPr>
      <w:r>
        <w:t>(e)</w:t>
      </w:r>
      <w:r>
        <w:tab/>
        <w:t>enforcement may be limited by the provisions of Scots law applicable to unfair contract terms and agreements held to have been frustrated by events happening after their execution; and</w:t>
      </w:r>
    </w:p>
    <w:p w14:paraId="4E70946C" w14:textId="77777777" w:rsidR="0082214D" w:rsidRDefault="0082214D" w:rsidP="0082214D">
      <w:pPr>
        <w:pStyle w:val="BodyText"/>
        <w:ind w:left="720" w:hanging="720"/>
      </w:pPr>
      <w:r>
        <w:t>(f)</w:t>
      </w:r>
      <w:r>
        <w:tab/>
        <w:t>enforcement of obligations may be invalidated by reason of fraud.</w:t>
      </w:r>
    </w:p>
    <w:p w14:paraId="4FFADCBC" w14:textId="04D3B5E0" w:rsidR="0082214D" w:rsidRDefault="0082214D" w:rsidP="0082214D">
      <w:pPr>
        <w:pStyle w:val="BodyText"/>
      </w:pPr>
      <w:r w:rsidRPr="005A6F62">
        <w:rPr>
          <w:b/>
          <w:i/>
        </w:rPr>
        <w:t>Bank position:</w:t>
      </w:r>
      <w:r>
        <w:t xml:space="preserve"> We express no opinion whatsoever on the capacity, power and authority of the Bank to enter into the Documentation or the performance of its obligations thereunder, or the Bank's own tax position or any internal or external consents or authorisations required by the Bank to execute, deliver and perform its obligations under the Documentation.</w:t>
      </w:r>
    </w:p>
    <w:p w14:paraId="65F2E88B" w14:textId="77777777" w:rsidR="0082214D" w:rsidRDefault="0082214D" w:rsidP="0082214D">
      <w:pPr>
        <w:pStyle w:val="BodyText"/>
      </w:pPr>
      <w:r w:rsidRPr="005A6F62">
        <w:rPr>
          <w:b/>
          <w:i/>
        </w:rPr>
        <w:t>Searches not conclusive</w:t>
      </w:r>
      <w:r>
        <w:t>: The searches referred to in [paragraph (a) on page [2] of this letter] are not conclusively capable of revealing whether or not:</w:t>
      </w:r>
    </w:p>
    <w:p w14:paraId="32D00AF1" w14:textId="77777777" w:rsidR="0082214D" w:rsidRDefault="0082214D" w:rsidP="0082214D">
      <w:pPr>
        <w:pStyle w:val="BodyText"/>
        <w:ind w:left="720" w:hanging="720"/>
      </w:pPr>
      <w:r>
        <w:t>(a)</w:t>
      </w:r>
      <w:r>
        <w:tab/>
        <w:t>a winding-up order or a bank insolvency order has been made or a resolution has been passed for the winding-up of the Participant;</w:t>
      </w:r>
    </w:p>
    <w:p w14:paraId="72408F59" w14:textId="77777777" w:rsidR="0082214D" w:rsidRDefault="0082214D" w:rsidP="0082214D">
      <w:pPr>
        <w:pStyle w:val="BodyText"/>
        <w:ind w:left="720" w:hanging="720"/>
      </w:pPr>
      <w:r>
        <w:t>(b)</w:t>
      </w:r>
      <w:r>
        <w:tab/>
        <w:t>a receiver, administrative receiver, administrator, bank administrator, liquidator or bank liquidator or judicial factor has been appointed; or</w:t>
      </w:r>
    </w:p>
    <w:p w14:paraId="31C83455" w14:textId="77777777" w:rsidR="0082214D" w:rsidRDefault="0082214D" w:rsidP="0082214D">
      <w:pPr>
        <w:pStyle w:val="BodyText"/>
        <w:ind w:left="720" w:hanging="720"/>
      </w:pPr>
      <w:r>
        <w:t>(c)</w:t>
      </w:r>
      <w:r>
        <w:tab/>
        <w:t>any petition, notice or other step preliminary to the foregoing has been lodged, given or taken place.</w:t>
      </w:r>
    </w:p>
    <w:p w14:paraId="688C630A" w14:textId="77777777" w:rsidR="0082214D" w:rsidRDefault="0082214D" w:rsidP="0082214D">
      <w:pPr>
        <w:pStyle w:val="BodyText"/>
      </w:pPr>
      <w:r w:rsidRPr="005A6F62">
        <w:rPr>
          <w:b/>
          <w:i/>
        </w:rPr>
        <w:t>Insolvency:</w:t>
      </w:r>
      <w:r>
        <w:t xml:space="preserve"> Save as expressly set out herein, we express no opinion regarding the insolvency of the Participant or its effects in relation to the Documentation, the Proposed Portfolio or any transaction thereunder or relative thereto.</w:t>
      </w:r>
    </w:p>
    <w:p w14:paraId="6CC05F61" w14:textId="77777777" w:rsidR="0082214D" w:rsidRPr="00D64CC3" w:rsidRDefault="0082214D" w:rsidP="0082214D">
      <w:pPr>
        <w:pStyle w:val="BodyText"/>
        <w:rPr>
          <w:color w:val="000000"/>
          <w:lang w:eastAsia="en-GB"/>
        </w:rPr>
      </w:pPr>
      <w:r w:rsidRPr="00D64CC3">
        <w:rPr>
          <w:b/>
          <w:i/>
        </w:rPr>
        <w:t xml:space="preserve">Governing law of a Loan Transaction: </w:t>
      </w:r>
      <w:r w:rsidRPr="00D64CC3">
        <w:t xml:space="preserve">with respect to the obligations of any of the parties under a Loan Transaction, the courts of </w:t>
      </w:r>
      <w:r>
        <w:t xml:space="preserve">Scotland </w:t>
      </w:r>
      <w:r w:rsidRPr="00D64CC3">
        <w:t xml:space="preserve">would not recognise </w:t>
      </w:r>
      <w:r w:rsidRPr="00D64CC3">
        <w:rPr>
          <w:color w:val="000000"/>
          <w:lang w:eastAsia="en-GB"/>
        </w:rPr>
        <w:t xml:space="preserve">the choice of </w:t>
      </w:r>
      <w:r>
        <w:rPr>
          <w:color w:val="000000"/>
          <w:lang w:eastAsia="en-GB"/>
        </w:rPr>
        <w:t>[</w:t>
      </w:r>
      <w:r>
        <w:rPr>
          <w:lang w:eastAsia="en-GB"/>
        </w:rPr>
        <w:t xml:space="preserve">English </w:t>
      </w:r>
      <w:r w:rsidRPr="00D64CC3">
        <w:rPr>
          <w:lang w:eastAsia="en-GB"/>
        </w:rPr>
        <w:t>law</w:t>
      </w:r>
      <w:r>
        <w:rPr>
          <w:lang w:eastAsia="en-GB"/>
        </w:rPr>
        <w:t>][,][Scots law][or] [Northern Irish law</w:t>
      </w:r>
      <w:r>
        <w:rPr>
          <w:color w:val="000000"/>
          <w:lang w:eastAsia="en-GB"/>
        </w:rPr>
        <w:t xml:space="preserve">] </w:t>
      </w:r>
      <w:r w:rsidRPr="00D64CC3">
        <w:rPr>
          <w:color w:val="000000"/>
          <w:lang w:eastAsia="en-GB"/>
        </w:rPr>
        <w:t xml:space="preserve">(as applicable) </w:t>
      </w:r>
      <w:r>
        <w:rPr>
          <w:color w:val="000000"/>
          <w:lang w:eastAsia="en-GB"/>
        </w:rPr>
        <w:t xml:space="preserve">to </w:t>
      </w:r>
      <w:r w:rsidRPr="00D64CC3">
        <w:rPr>
          <w:color w:val="000000"/>
          <w:lang w:eastAsia="en-GB"/>
        </w:rPr>
        <w:t xml:space="preserve">govern a Loan Transaction, where such choice would be inconsistent with: </w:t>
      </w:r>
    </w:p>
    <w:p w14:paraId="2B1809E5" w14:textId="77777777" w:rsidR="0082214D" w:rsidRPr="00D64CC3" w:rsidRDefault="0082214D" w:rsidP="0082214D">
      <w:pPr>
        <w:pStyle w:val="BodyText"/>
        <w:ind w:left="1440" w:hanging="720"/>
      </w:pPr>
      <w:r w:rsidRPr="00D64CC3">
        <w:t xml:space="preserve">(i) </w:t>
      </w:r>
      <w:r w:rsidRPr="00D64CC3">
        <w:tab/>
        <w:t xml:space="preserve">Regulation (EC) No. 593/2008 on the law applicable to contractual obligations (the </w:t>
      </w:r>
      <w:r w:rsidRPr="00D64CC3">
        <w:rPr>
          <w:b/>
          <w:i/>
        </w:rPr>
        <w:t>Rome I Regulation</w:t>
      </w:r>
      <w:r w:rsidRPr="00D64CC3">
        <w:t xml:space="preserve">). In addition, we express no opinion as to the choice of </w:t>
      </w:r>
      <w:r>
        <w:t xml:space="preserve">Scots </w:t>
      </w:r>
      <w:r w:rsidRPr="00D64CC3">
        <w:t>law to govern contractual obligations falling outside the scope of the Rome I Regulation;</w:t>
      </w:r>
    </w:p>
    <w:p w14:paraId="54406132" w14:textId="77777777" w:rsidR="0082214D" w:rsidRPr="00D64CC3" w:rsidRDefault="0082214D" w:rsidP="0082214D">
      <w:pPr>
        <w:pStyle w:val="BodyText"/>
        <w:ind w:left="1440" w:hanging="720"/>
      </w:pPr>
      <w:r w:rsidRPr="00D64CC3">
        <w:t xml:space="preserve">(ii) </w:t>
      </w:r>
      <w:r w:rsidRPr="00D64CC3">
        <w:tab/>
        <w:t xml:space="preserve">Regulation (EC) No. 864/2007 on the law applicable to non-contractual obligations (the </w:t>
      </w:r>
      <w:r w:rsidRPr="00D64CC3">
        <w:rPr>
          <w:b/>
          <w:i/>
        </w:rPr>
        <w:t>Rome II Regulation</w:t>
      </w:r>
      <w:r w:rsidRPr="00D64CC3">
        <w:t xml:space="preserve">). In addition, we express no opinion as to the choice of </w:t>
      </w:r>
      <w:r>
        <w:t xml:space="preserve">Scots </w:t>
      </w:r>
      <w:r w:rsidRPr="00D64CC3">
        <w:t>law to govern non-contractual obligations falling outside the scope of the Rome II Regulation; or</w:t>
      </w:r>
    </w:p>
    <w:p w14:paraId="44DD8E2F" w14:textId="77777777" w:rsidR="0082214D" w:rsidRDefault="0082214D" w:rsidP="0082214D">
      <w:pPr>
        <w:pStyle w:val="BodyText"/>
        <w:ind w:left="1440" w:hanging="720"/>
      </w:pPr>
      <w:r w:rsidRPr="00D64CC3">
        <w:t xml:space="preserve">(iii) </w:t>
      </w:r>
      <w:r w:rsidRPr="00D64CC3">
        <w:tab/>
        <w:t>the Hague Convention on the Law Applicable to Trusts and their Recognition, as enacted by the Recognition of Trusts Act 1987;</w:t>
      </w:r>
    </w:p>
    <w:p w14:paraId="02A484CF" w14:textId="77777777" w:rsidR="0082214D" w:rsidRPr="00D64CC3" w:rsidRDefault="0082214D" w:rsidP="0082214D">
      <w:pPr>
        <w:pStyle w:val="BodyText"/>
      </w:pPr>
      <w:r w:rsidRPr="00D64CC3">
        <w:rPr>
          <w:b/>
          <w:i/>
        </w:rPr>
        <w:t xml:space="preserve">Insolvency Proceedings: </w:t>
      </w:r>
      <w:r w:rsidRPr="00D64CC3">
        <w:t xml:space="preserve">subject to the rules relating to the jurisdiction of the courts of Member States in relation to any insolvency proceedings opened pursuant to the EU Insolvency Regulation in respect of the Participant, the acceptance of jurisdiction by the </w:t>
      </w:r>
      <w:r>
        <w:t xml:space="preserve">English </w:t>
      </w:r>
      <w:r w:rsidRPr="00D64CC3">
        <w:t xml:space="preserve">courts may be limited by Council Regulation (EC) 44/2001 (the </w:t>
      </w:r>
      <w:r w:rsidRPr="00D64CC3">
        <w:rPr>
          <w:b/>
          <w:i/>
        </w:rPr>
        <w:t>Judgments Regulation</w:t>
      </w:r>
      <w:r w:rsidRPr="00D64CC3">
        <w:t xml:space="preserve">), or the 2007 Lugano Convention on Jurisdiction and the Enforcement of Judgments in Civil and Commercial Matters (the </w:t>
      </w:r>
      <w:r w:rsidRPr="00D64CC3">
        <w:rPr>
          <w:b/>
          <w:i/>
        </w:rPr>
        <w:t>2007 Lugano Convention</w:t>
      </w:r>
      <w:r w:rsidRPr="00D64CC3">
        <w:t xml:space="preserve">) or the 1968 Brussels Convention on Jurisdiction and the Enforcement of Judgments in Civil and Commercial Matters, as amended, or the 1988 Lugano Convention on Jurisdiction and the Enforcement of Judgments in Civil and Commercial Matters (the </w:t>
      </w:r>
      <w:r w:rsidRPr="00D64CC3">
        <w:rPr>
          <w:b/>
          <w:i/>
        </w:rPr>
        <w:t>1988 Lugano</w:t>
      </w:r>
      <w:r w:rsidRPr="00D64CC3">
        <w:t xml:space="preserve"> </w:t>
      </w:r>
      <w:r w:rsidRPr="00D64CC3">
        <w:rPr>
          <w:b/>
          <w:i/>
        </w:rPr>
        <w:t>Convention</w:t>
      </w:r>
      <w:r w:rsidRPr="00D64CC3">
        <w:t xml:space="preserve">); </w:t>
      </w:r>
    </w:p>
    <w:p w14:paraId="7C87A39B" w14:textId="77777777" w:rsidR="0082214D" w:rsidRPr="00D64CC3" w:rsidRDefault="0082214D" w:rsidP="0082214D">
      <w:pPr>
        <w:pStyle w:val="BodyText"/>
      </w:pPr>
      <w:r w:rsidRPr="00D64CC3">
        <w:rPr>
          <w:b/>
          <w:i/>
        </w:rPr>
        <w:t>Jurisdiction:</w:t>
      </w:r>
      <w:r w:rsidRPr="00D64CC3">
        <w:t xml:space="preserve"> the submission to the jurisdiction of the </w:t>
      </w:r>
      <w:r>
        <w:t xml:space="preserve">English </w:t>
      </w:r>
      <w:r w:rsidRPr="00D64CC3">
        <w:t>courts is subject to the following:</w:t>
      </w:r>
    </w:p>
    <w:p w14:paraId="7A9C6A2B" w14:textId="77777777" w:rsidR="0082214D" w:rsidRPr="00D64CC3" w:rsidRDefault="0082214D" w:rsidP="0082214D">
      <w:pPr>
        <w:pStyle w:val="BodyText"/>
        <w:ind w:left="1440" w:hanging="720"/>
      </w:pPr>
      <w:r w:rsidRPr="00D64CC3">
        <w:t>(i)</w:t>
      </w:r>
      <w:r w:rsidRPr="00D64CC3">
        <w:tab/>
        <w:t xml:space="preserve">in any case where the claimant asserts that the court’s jurisdiction is based on Council Regulation (EC) 44/2001 (the </w:t>
      </w:r>
      <w:r w:rsidRPr="00D64CC3">
        <w:rPr>
          <w:b/>
          <w:i/>
        </w:rPr>
        <w:t>Judgments Regulation</w:t>
      </w:r>
      <w:r w:rsidRPr="00D64CC3">
        <w:t xml:space="preserve">), or the 2007 Lugano Convention on Jurisdiction and the Enforcement of Judgments in Civil and Commercial Matters (the </w:t>
      </w:r>
      <w:r w:rsidRPr="00D64CC3">
        <w:rPr>
          <w:b/>
          <w:i/>
        </w:rPr>
        <w:t>2007 Lugano Convention</w:t>
      </w:r>
      <w:r w:rsidRPr="00D64CC3">
        <w:t xml:space="preserve">) or the 1968 Brussels Convention on Jurisdiction and the Enforcement of Judgments in Civil and Commercial Matters (the </w:t>
      </w:r>
      <w:r w:rsidRPr="00D64CC3">
        <w:rPr>
          <w:b/>
          <w:i/>
        </w:rPr>
        <w:t>Brussels Convention</w:t>
      </w:r>
      <w:r w:rsidRPr="00D64CC3">
        <w:t xml:space="preserve">), as amended, or the 1988 Lugano Convention on Jurisdiction and the Enforcement of Judgments in Civil and Commercial Matters (the </w:t>
      </w:r>
      <w:r w:rsidRPr="00D64CC3">
        <w:rPr>
          <w:b/>
          <w:i/>
        </w:rPr>
        <w:t>1988 Lugano Convention</w:t>
      </w:r>
      <w:r w:rsidRPr="00D64CC3">
        <w:t>), the court may in certain circumstances not have, or may be obliged to decline, jurisdiction, including where:</w:t>
      </w:r>
    </w:p>
    <w:p w14:paraId="5DA1E3F0" w14:textId="77777777" w:rsidR="0082214D" w:rsidRPr="00D64CC3" w:rsidRDefault="0082214D" w:rsidP="0082214D">
      <w:pPr>
        <w:pStyle w:val="BodyText"/>
        <w:ind w:left="2160" w:hanging="720"/>
      </w:pPr>
      <w:r w:rsidRPr="00D64CC3">
        <w:t>(A)</w:t>
      </w:r>
      <w:r w:rsidRPr="00D64CC3">
        <w:tab/>
        <w:t>Article 22 of the Judgments Regulation, Article 22 of the 2007 Lugano Convention, Article 16 of the Brussels Convention, Article 16 of the 1988 Lugano Convention or an equivalent common law rule limiting the subject-matter jurisdiction of the court is applicable;</w:t>
      </w:r>
    </w:p>
    <w:p w14:paraId="26B252D1" w14:textId="77777777" w:rsidR="0082214D" w:rsidRPr="00D64CC3" w:rsidRDefault="0082214D" w:rsidP="0082214D">
      <w:pPr>
        <w:pStyle w:val="BodyText"/>
        <w:ind w:left="2160" w:hanging="720"/>
      </w:pPr>
      <w:r w:rsidRPr="00D64CC3">
        <w:t>(B)</w:t>
      </w:r>
      <w:r w:rsidRPr="00D64CC3">
        <w:tab/>
        <w:t>the contract is an insurance contract, a consumer contract, or a contract of individual employment; or</w:t>
      </w:r>
    </w:p>
    <w:p w14:paraId="221FF398" w14:textId="77777777" w:rsidR="0082214D" w:rsidRPr="00D64CC3" w:rsidRDefault="0082214D" w:rsidP="0082214D">
      <w:pPr>
        <w:pStyle w:val="BodyText"/>
        <w:ind w:left="2160" w:hanging="720"/>
      </w:pPr>
      <w:r w:rsidRPr="00D64CC3">
        <w:t>(C)</w:t>
      </w:r>
      <w:r w:rsidRPr="00D64CC3">
        <w:tab/>
        <w:t>proceedings involving the same or a related cause of action are already pending before the courts of another Member State to the Judgments Regulation or the courts of another Contracting State to the conventions referred to above, and, respectively, Articles 27-30 of the Judgments Regulation, Articles 27 – 30 of the 2007 Lugano Convention, Articles 21-23 of the Brussels Convention, or Articles 21-23 of the 1988 Lugano Convention apply;</w:t>
      </w:r>
      <w:r>
        <w:t xml:space="preserve"> and</w:t>
      </w:r>
    </w:p>
    <w:p w14:paraId="3ED0D5A0" w14:textId="77777777" w:rsidR="0082214D" w:rsidRPr="00D64CC3" w:rsidRDefault="0082214D" w:rsidP="0082214D">
      <w:pPr>
        <w:pStyle w:val="BodyText"/>
        <w:ind w:left="1440" w:hanging="720"/>
      </w:pPr>
      <w:r w:rsidRPr="00D64CC3">
        <w:t>(ii)</w:t>
      </w:r>
      <w:r w:rsidRPr="00D64CC3">
        <w:tab/>
        <w:t xml:space="preserve">in any case where the court’s jurisdiction is based on Article 4 of the Judgments Regulation, Article 4 of the 2007 Lugano Convention, Article 4 of the Brussels Convention or Article 4 of the 1988 Lugano Convention, the court may decline to exercise its jurisdiction in accordance with the doctrine of </w:t>
      </w:r>
      <w:r w:rsidRPr="00D64CC3">
        <w:rPr>
          <w:i/>
        </w:rPr>
        <w:t xml:space="preserve">forum non conveniens </w:t>
      </w:r>
      <w:r w:rsidRPr="00D64CC3">
        <w:t>(‘inconvenient forum’)</w:t>
      </w:r>
      <w:r>
        <w:t>.</w:t>
      </w:r>
      <w:r w:rsidRPr="00D64CC3">
        <w:rPr>
          <w:bCs/>
        </w:rPr>
        <w:tab/>
      </w:r>
    </w:p>
    <w:p w14:paraId="6CA038EF" w14:textId="77777777" w:rsidR="0082214D" w:rsidRDefault="0082214D" w:rsidP="0082214D">
      <w:pPr>
        <w:pStyle w:val="FWSL1"/>
        <w:keepNext w:val="0"/>
        <w:keepLines w:val="0"/>
        <w:rPr>
          <w:caps w:val="0"/>
        </w:rPr>
      </w:pPr>
      <w:r w:rsidRPr="00D64CC3">
        <w:rPr>
          <w:caps w:val="0"/>
        </w:rPr>
        <w:br/>
      </w:r>
      <w:r>
        <w:rPr>
          <w:caps w:val="0"/>
        </w:rPr>
        <w:t>Part A</w:t>
      </w:r>
    </w:p>
    <w:p w14:paraId="59B5128C" w14:textId="77777777" w:rsidR="0082214D" w:rsidRPr="00A773A3" w:rsidRDefault="0082214D" w:rsidP="0082214D">
      <w:pPr>
        <w:pStyle w:val="FWSL2"/>
        <w:numPr>
          <w:ilvl w:val="0"/>
          <w:numId w:val="0"/>
        </w:numPr>
      </w:pPr>
      <w:r>
        <w:t>TERMS AND CONDITIONS</w:t>
      </w:r>
    </w:p>
    <w:p w14:paraId="12956A17" w14:textId="3F346EC2" w:rsidR="0082214D" w:rsidRPr="00D64CC3" w:rsidRDefault="0082214D" w:rsidP="00942329">
      <w:pPr>
        <w:pStyle w:val="FWSL4"/>
      </w:pPr>
      <w:r w:rsidRPr="00D64CC3">
        <w:t xml:space="preserve">The documentation for the Bank’s operations under the Sterling Monetary Framework, </w:t>
      </w:r>
      <w:r>
        <w:t xml:space="preserve">including the SMF terms and conditions and the SMF operating procedures, </w:t>
      </w:r>
      <w:r w:rsidRPr="00D64CC3">
        <w:t xml:space="preserve">dated </w:t>
      </w:r>
      <w:r>
        <w:t>5 September 2016</w:t>
      </w:r>
      <w:r w:rsidRPr="00D64CC3">
        <w:t xml:space="preserve"> (as amended, supplemented or varied from time to time) (the </w:t>
      </w:r>
      <w:r w:rsidRPr="00D64CC3">
        <w:rPr>
          <w:b/>
          <w:i/>
        </w:rPr>
        <w:t>SMF Documentation</w:t>
      </w:r>
      <w:r w:rsidRPr="00D64CC3">
        <w:t>);</w:t>
      </w:r>
    </w:p>
    <w:p w14:paraId="0913B70C" w14:textId="5989D80D" w:rsidR="0082214D" w:rsidRDefault="0082214D" w:rsidP="00942329">
      <w:pPr>
        <w:pStyle w:val="FWSL4"/>
      </w:pPr>
      <w:r w:rsidRPr="00D64CC3">
        <w:t xml:space="preserve">The documentation for the Bank’s operations under the </w:t>
      </w:r>
      <w:r>
        <w:t>Funding for Lending Scheme</w:t>
      </w:r>
      <w:r w:rsidRPr="00D64CC3">
        <w:t xml:space="preserve">, </w:t>
      </w:r>
      <w:r>
        <w:t xml:space="preserve">including the FLS terms and conditions and the FLS operating procedures, </w:t>
      </w:r>
      <w:r w:rsidRPr="00D64CC3">
        <w:t xml:space="preserve">dated </w:t>
      </w:r>
      <w:r>
        <w:t>5 September 2016</w:t>
      </w:r>
      <w:r w:rsidRPr="00D64CC3">
        <w:t xml:space="preserve"> (as amended, supplemented or varied from time to time) (the </w:t>
      </w:r>
      <w:r>
        <w:rPr>
          <w:b/>
          <w:i/>
        </w:rPr>
        <w:t>FLS</w:t>
      </w:r>
      <w:r w:rsidRPr="00D64CC3">
        <w:rPr>
          <w:b/>
          <w:i/>
        </w:rPr>
        <w:t xml:space="preserve"> Documentation</w:t>
      </w:r>
      <w:r w:rsidRPr="00D64CC3">
        <w:t>);</w:t>
      </w:r>
    </w:p>
    <w:p w14:paraId="5461EDCC" w14:textId="5D15479E" w:rsidR="0082214D" w:rsidRDefault="0082214D" w:rsidP="00942329">
      <w:pPr>
        <w:pStyle w:val="FWSL4"/>
      </w:pPr>
      <w:r w:rsidRPr="003972F7">
        <w:t xml:space="preserve">The documentation for the Bank’s operations under the </w:t>
      </w:r>
      <w:r>
        <w:t xml:space="preserve">Term </w:t>
      </w:r>
      <w:r w:rsidRPr="003972F7">
        <w:t xml:space="preserve">Funding Scheme, including the </w:t>
      </w:r>
      <w:r>
        <w:t xml:space="preserve">TFS </w:t>
      </w:r>
      <w:r w:rsidRPr="003972F7">
        <w:t xml:space="preserve">terms and conditions and the </w:t>
      </w:r>
      <w:r>
        <w:t>TFS</w:t>
      </w:r>
      <w:r w:rsidRPr="003972F7">
        <w:t xml:space="preserve"> operating procedures, dated </w:t>
      </w:r>
      <w:r>
        <w:t xml:space="preserve">17 August </w:t>
      </w:r>
      <w:r w:rsidRPr="003972F7">
        <w:t xml:space="preserve">2016 (as amended, supplemented or varied from time to time) (the </w:t>
      </w:r>
      <w:r w:rsidRPr="00942329">
        <w:rPr>
          <w:b/>
          <w:i/>
        </w:rPr>
        <w:t>TFS Documentation</w:t>
      </w:r>
      <w:r w:rsidRPr="003972F7">
        <w:t>);</w:t>
      </w:r>
    </w:p>
    <w:p w14:paraId="4BEC8BEB" w14:textId="14696E6A" w:rsidR="009A288A" w:rsidRPr="009A288A" w:rsidRDefault="009A288A" w:rsidP="00942329">
      <w:pPr>
        <w:pStyle w:val="FWSL4"/>
      </w:pPr>
      <w:r>
        <w:t xml:space="preserve">The documentation </w:t>
      </w:r>
      <w:r w:rsidRPr="003972F7">
        <w:t xml:space="preserve">for the Bank’s operations under the </w:t>
      </w:r>
      <w:r>
        <w:t xml:space="preserve">Term </w:t>
      </w:r>
      <w:r w:rsidRPr="003972F7">
        <w:t>Funding Scheme</w:t>
      </w:r>
      <w:r>
        <w:t xml:space="preserve"> with additional incentives for Small and Medium-sized enterprises</w:t>
      </w:r>
      <w:r w:rsidRPr="003972F7">
        <w:t xml:space="preserve">, including the </w:t>
      </w:r>
      <w:r>
        <w:t xml:space="preserve">TFSME </w:t>
      </w:r>
      <w:r w:rsidRPr="003972F7">
        <w:t xml:space="preserve">terms and conditions and the </w:t>
      </w:r>
      <w:r>
        <w:t>TFSME</w:t>
      </w:r>
      <w:r w:rsidRPr="003972F7">
        <w:t xml:space="preserve"> operating procedures, dated </w:t>
      </w:r>
      <w:r w:rsidR="007952BE">
        <w:t>20 March 2020</w:t>
      </w:r>
      <w:r>
        <w:t xml:space="preserve"> </w:t>
      </w:r>
      <w:r w:rsidRPr="003972F7">
        <w:t xml:space="preserve">(as amended, supplemented or varied from time to time) (the </w:t>
      </w:r>
      <w:r w:rsidRPr="009A288A">
        <w:rPr>
          <w:b/>
          <w:i/>
        </w:rPr>
        <w:t>TFS</w:t>
      </w:r>
      <w:r w:rsidRPr="00E53EED">
        <w:rPr>
          <w:b/>
          <w:i/>
        </w:rPr>
        <w:t>ME</w:t>
      </w:r>
      <w:r w:rsidRPr="009A288A">
        <w:rPr>
          <w:b/>
          <w:i/>
        </w:rPr>
        <w:t xml:space="preserve"> Documentation</w:t>
      </w:r>
      <w:r w:rsidRPr="003972F7">
        <w:t>);</w:t>
      </w:r>
    </w:p>
    <w:p w14:paraId="4CC083EC" w14:textId="1F24A2AB" w:rsidR="0082214D" w:rsidRPr="00D64CC3" w:rsidRDefault="000D1848" w:rsidP="00942329">
      <w:pPr>
        <w:pStyle w:val="FWSL4"/>
      </w:pPr>
      <w:r w:rsidRPr="000D1848">
        <w:t>[an executed copy of the SMF</w:t>
      </w:r>
      <w:r w:rsidR="007D1A70">
        <w:t>/FLS/TFSME</w:t>
      </w:r>
      <w:r w:rsidRPr="000D1848">
        <w:t xml:space="preserve"> Annex ([Assignment]/[Trust]) entered into between the Participant and the Bank dated [          ]] / [an executed copy of the TFS Annex ([Assignment]/[Trust]) entered into between the Participant, the Bank and Bank of England Asset Purchase Facility Fund Limited (</w:t>
      </w:r>
      <w:r w:rsidRPr="00007CB2">
        <w:rPr>
          <w:b/>
          <w:i/>
        </w:rPr>
        <w:t>BEAPFF</w:t>
      </w:r>
      <w:r w:rsidRPr="000D1848">
        <w:t>) dated [          ], together with an executed copy of the novation and assignment agreement relating to the TFS entered into between the Participant, the Bank and BEAPFF dated [          ]]</w:t>
      </w:r>
      <w:r w:rsidR="0082214D">
        <w:t>;</w:t>
      </w:r>
      <w:r w:rsidR="0082214D" w:rsidRPr="00007CB2">
        <w:rPr>
          <w:rStyle w:val="FootnoteReference"/>
          <w:bCs/>
        </w:rPr>
        <w:footnoteReference w:id="21"/>
      </w:r>
    </w:p>
    <w:p w14:paraId="1091CE80" w14:textId="470C3D90" w:rsidR="0082214D" w:rsidRPr="00D64CC3" w:rsidRDefault="0082214D" w:rsidP="00942329">
      <w:pPr>
        <w:pStyle w:val="FWSL4"/>
      </w:pPr>
      <w:r w:rsidRPr="00D64CC3">
        <w:t xml:space="preserve">any market notice relating to the </w:t>
      </w:r>
      <w:r>
        <w:t xml:space="preserve">Facilities </w:t>
      </w:r>
      <w:r w:rsidRPr="00D64CC3">
        <w:t xml:space="preserve">(each a </w:t>
      </w:r>
      <w:r w:rsidRPr="00007CB2">
        <w:rPr>
          <w:b/>
          <w:i/>
        </w:rPr>
        <w:t>Market Notice</w:t>
      </w:r>
      <w:r w:rsidRPr="00D64CC3">
        <w:t xml:space="preserve">); </w:t>
      </w:r>
    </w:p>
    <w:p w14:paraId="44ABCF34" w14:textId="6828BDDB" w:rsidR="0082214D" w:rsidRDefault="0082214D" w:rsidP="00942329">
      <w:pPr>
        <w:pStyle w:val="FWSL4"/>
      </w:pPr>
      <w:r>
        <w:t>[</w:t>
      </w:r>
      <w:r w:rsidRPr="00D64CC3">
        <w:t xml:space="preserve">the </w:t>
      </w:r>
      <w:r>
        <w:t xml:space="preserve">form of </w:t>
      </w:r>
      <w:r w:rsidR="00D9017E">
        <w:t xml:space="preserve">DWF </w:t>
      </w:r>
      <w:r>
        <w:t>Transaction Notice;]</w:t>
      </w:r>
    </w:p>
    <w:p w14:paraId="0E38DB68" w14:textId="21AE9250" w:rsidR="00473967" w:rsidRPr="00D64CC3" w:rsidRDefault="00473967" w:rsidP="00942329">
      <w:pPr>
        <w:pStyle w:val="FWSL4"/>
      </w:pPr>
      <w:r>
        <w:t>[the form of Pre-positioning Notice (DWF)]</w:t>
      </w:r>
    </w:p>
    <w:p w14:paraId="3645CC45" w14:textId="153DE3C6" w:rsidR="0082214D" w:rsidRDefault="0082214D" w:rsidP="00942329">
      <w:pPr>
        <w:pStyle w:val="FWSL4"/>
      </w:pPr>
      <w:r>
        <w:t xml:space="preserve">[an executed copy of </w:t>
      </w:r>
      <w:r w:rsidRPr="00D64CC3">
        <w:t>the Participant’s admission letter to the Sterling Monetary Framework dated [●]</w:t>
      </w:r>
      <w:r>
        <w:t xml:space="preserve"> (the </w:t>
      </w:r>
      <w:r w:rsidRPr="00942329">
        <w:rPr>
          <w:b/>
          <w:i/>
        </w:rPr>
        <w:t>Admission Letter</w:t>
      </w:r>
      <w:r>
        <w:t>)</w:t>
      </w:r>
      <w:r w:rsidRPr="00D64CC3">
        <w:t>;</w:t>
      </w:r>
      <w:r>
        <w:t>]</w:t>
      </w:r>
    </w:p>
    <w:p w14:paraId="2EBA4258" w14:textId="7BDE8F57" w:rsidR="0082214D" w:rsidRDefault="00A26D07" w:rsidP="00942329">
      <w:pPr>
        <w:pStyle w:val="FWSL4"/>
      </w:pPr>
      <w:r>
        <w:t>[</w:t>
      </w:r>
      <w:r w:rsidR="0082214D">
        <w:t xml:space="preserve">an executed copy of the Power of Attorney granted by the Participant in favour of the Bank pursuant to the </w:t>
      </w:r>
      <w:r w:rsidR="00EB71EA">
        <w:t>SMF/FLS</w:t>
      </w:r>
      <w:r w:rsidR="00490F50">
        <w:t>/TFSME</w:t>
      </w:r>
      <w:r w:rsidR="00E53EED">
        <w:t xml:space="preserve"> </w:t>
      </w:r>
      <w:r w:rsidR="0082214D">
        <w:t>Annex dated [     ]</w:t>
      </w:r>
      <w:r>
        <w:t>]</w:t>
      </w:r>
      <w:r w:rsidR="0082214D">
        <w:t xml:space="preserve"> </w:t>
      </w:r>
      <w:bookmarkStart w:id="3" w:name="_Hlk36646159"/>
      <w:r w:rsidR="00E4154B">
        <w:t>/</w:t>
      </w:r>
      <w:r>
        <w:t xml:space="preserve"> </w:t>
      </w:r>
      <w:r w:rsidR="00157B21">
        <w:t>[</w:t>
      </w:r>
      <w:r w:rsidR="00E4154B">
        <w:t>an executed copy of the Power of Attorney granted by the Participant in favour of the Bank pursuant to the TFS Annex dated [     ]</w:t>
      </w:r>
      <w:r>
        <w:t>]</w:t>
      </w:r>
      <w:r w:rsidR="00E4154B">
        <w:t xml:space="preserve"> </w:t>
      </w:r>
      <w:bookmarkEnd w:id="3"/>
      <w:r w:rsidR="0082214D">
        <w:t>(</w:t>
      </w:r>
      <w:r w:rsidR="0082214D" w:rsidRPr="00942329">
        <w:rPr>
          <w:b/>
          <w:i/>
        </w:rPr>
        <w:t>Power of Attorney</w:t>
      </w:r>
      <w:r w:rsidR="0082214D">
        <w:t>);</w:t>
      </w:r>
      <w:r>
        <w:t>]</w:t>
      </w:r>
      <w:r w:rsidRPr="00011535">
        <w:rPr>
          <w:rStyle w:val="FootnoteReference"/>
        </w:rPr>
        <w:footnoteReference w:id="22"/>
      </w:r>
    </w:p>
    <w:p w14:paraId="3A8FE430" w14:textId="68AEDCB5" w:rsidR="0082214D" w:rsidRDefault="0082214D" w:rsidP="00942329">
      <w:pPr>
        <w:pStyle w:val="FWSL4"/>
      </w:pPr>
      <w:r>
        <w:t xml:space="preserve">[an executed copy of the Commencement Letter from the Bank dated [       ] confirming the Participant's participation in one or more of the Facilities.]; </w:t>
      </w:r>
    </w:p>
    <w:p w14:paraId="3D31E472" w14:textId="600CC8ED" w:rsidR="00B85CF3" w:rsidRDefault="00A26D07" w:rsidP="00942329">
      <w:pPr>
        <w:pStyle w:val="FWSL4"/>
      </w:pPr>
      <w:r>
        <w:t>[</w:t>
      </w:r>
      <w:r w:rsidR="00B85CF3">
        <w:t>FLS Scheme Letter</w:t>
      </w:r>
      <w:r w:rsidR="00DC20EB">
        <w:t xml:space="preserve"> dated [ ]</w:t>
      </w:r>
      <w:r w:rsidR="00E53EED">
        <w:t>;</w:t>
      </w:r>
      <w:r>
        <w:t>]</w:t>
      </w:r>
    </w:p>
    <w:p w14:paraId="3E15CF8B" w14:textId="3D77E062" w:rsidR="00B85CF3" w:rsidRDefault="00A26D07" w:rsidP="00942329">
      <w:pPr>
        <w:pStyle w:val="FWSL4"/>
      </w:pPr>
      <w:r>
        <w:t>[</w:t>
      </w:r>
      <w:r w:rsidR="00DC20EB">
        <w:t xml:space="preserve">the form of </w:t>
      </w:r>
      <w:r w:rsidR="00B85CF3">
        <w:t xml:space="preserve">FLS </w:t>
      </w:r>
      <w:r w:rsidR="00D9017E">
        <w:t>Drawdown R</w:t>
      </w:r>
      <w:r w:rsidR="00E53EED">
        <w:t>e</w:t>
      </w:r>
      <w:r w:rsidR="00D9017E">
        <w:t>quest</w:t>
      </w:r>
      <w:r w:rsidR="00E53EED">
        <w:t>;</w:t>
      </w:r>
      <w:r>
        <w:t>]</w:t>
      </w:r>
    </w:p>
    <w:p w14:paraId="65C7D113" w14:textId="301F9CDB" w:rsidR="00B85CF3" w:rsidRDefault="00473967" w:rsidP="00942329">
      <w:pPr>
        <w:pStyle w:val="FWSL4"/>
      </w:pPr>
      <w:r>
        <w:t>[</w:t>
      </w:r>
      <w:r w:rsidR="00DC20EB">
        <w:t xml:space="preserve">the form of </w:t>
      </w:r>
      <w:r w:rsidR="00B85CF3">
        <w:t>FLS Loan Collateral Transfer Request Notice</w:t>
      </w:r>
      <w:r w:rsidR="00E53EED">
        <w:t>;</w:t>
      </w:r>
      <w:r>
        <w:t>]</w:t>
      </w:r>
    </w:p>
    <w:p w14:paraId="3DACADFA" w14:textId="6CF3913B" w:rsidR="00B85CF3" w:rsidRDefault="00A26D07" w:rsidP="00942329">
      <w:pPr>
        <w:pStyle w:val="FWSL4"/>
      </w:pPr>
      <w:r>
        <w:t>[</w:t>
      </w:r>
      <w:r w:rsidR="00DC20EB">
        <w:t>TFS Scheme Letter dated [ ]</w:t>
      </w:r>
      <w:r w:rsidR="00E53EED">
        <w:t>;</w:t>
      </w:r>
      <w:r>
        <w:t>]</w:t>
      </w:r>
    </w:p>
    <w:p w14:paraId="249B3520" w14:textId="39B030C3" w:rsidR="00DC20EB" w:rsidRDefault="00A26D07" w:rsidP="00942329">
      <w:pPr>
        <w:pStyle w:val="FWSL4"/>
      </w:pPr>
      <w:r>
        <w:t>[</w:t>
      </w:r>
      <w:r w:rsidR="00DC20EB">
        <w:t>the form of TFS Drawdown Request</w:t>
      </w:r>
      <w:r w:rsidR="00E53EED">
        <w:t>;</w:t>
      </w:r>
      <w:r>
        <w:t>]</w:t>
      </w:r>
    </w:p>
    <w:p w14:paraId="7151D647" w14:textId="64A9CD0A" w:rsidR="00DC20EB" w:rsidRDefault="00473967" w:rsidP="00942329">
      <w:pPr>
        <w:pStyle w:val="FWSL4"/>
      </w:pPr>
      <w:r>
        <w:t>[</w:t>
      </w:r>
      <w:r w:rsidR="00DC20EB">
        <w:t>the form of TFS Loan Collateral Transfer Request Notice</w:t>
      </w:r>
      <w:r w:rsidR="00E53EED">
        <w:t>;</w:t>
      </w:r>
      <w:r>
        <w:t>]</w:t>
      </w:r>
    </w:p>
    <w:p w14:paraId="6B9650D6" w14:textId="65BECBF1" w:rsidR="009A288A" w:rsidRDefault="00A26D07" w:rsidP="00942329">
      <w:pPr>
        <w:pStyle w:val="FWSL4"/>
      </w:pPr>
      <w:r>
        <w:t>[</w:t>
      </w:r>
      <w:r w:rsidR="009A288A">
        <w:t>TFSME Scheme Letter dated [ ]</w:t>
      </w:r>
      <w:r w:rsidR="00E53EED">
        <w:t>;</w:t>
      </w:r>
      <w:r>
        <w:t>]</w:t>
      </w:r>
    </w:p>
    <w:p w14:paraId="00A80314" w14:textId="790D1484" w:rsidR="009A288A" w:rsidRDefault="00A26D07" w:rsidP="00942329">
      <w:pPr>
        <w:pStyle w:val="FWSL4"/>
      </w:pPr>
      <w:r>
        <w:t>[</w:t>
      </w:r>
      <w:r w:rsidR="009A288A">
        <w:t>the form of TFSME Drawdown Request</w:t>
      </w:r>
      <w:r w:rsidR="00E53EED">
        <w:t>;</w:t>
      </w:r>
      <w:r>
        <w:t>]</w:t>
      </w:r>
    </w:p>
    <w:p w14:paraId="488AC7F1" w14:textId="206E878F" w:rsidR="009A288A" w:rsidRDefault="009A288A" w:rsidP="00942329">
      <w:pPr>
        <w:pStyle w:val="FWSL4"/>
      </w:pPr>
      <w:r>
        <w:t>[the form of TFSME Loan Collateral Transfer Request Notice</w:t>
      </w:r>
      <w:r w:rsidR="00E53EED">
        <w:t>;</w:t>
      </w:r>
      <w:r>
        <w:t>]</w:t>
      </w:r>
    </w:p>
    <w:p w14:paraId="0F2552CE" w14:textId="2914EB65" w:rsidR="0082214D" w:rsidRPr="002D1087" w:rsidRDefault="0082214D" w:rsidP="00942329">
      <w:pPr>
        <w:pStyle w:val="FWSL4"/>
      </w:pPr>
      <w:r>
        <w:t>[</w:t>
      </w:r>
      <w:r w:rsidRPr="002D76F5">
        <w:t>include any ancillary documents such as side letters</w:t>
      </w:r>
      <w:r>
        <w:t xml:space="preserve"> (the </w:t>
      </w:r>
      <w:r w:rsidRPr="00942329">
        <w:rPr>
          <w:b/>
          <w:i/>
        </w:rPr>
        <w:t>Side Letters</w:t>
      </w:r>
      <w:r>
        <w:t>); and]</w:t>
      </w:r>
    </w:p>
    <w:p w14:paraId="25E65725" w14:textId="595B1F7E" w:rsidR="0082214D" w:rsidRPr="00D64CC3" w:rsidRDefault="0090020D" w:rsidP="00942329">
      <w:pPr>
        <w:pStyle w:val="FWSL4"/>
      </w:pPr>
      <w:r>
        <w:t>[</w:t>
      </w:r>
      <w:r w:rsidR="0082214D" w:rsidRPr="00D64CC3">
        <w:t>the constitutional documents of the Participant, and such other corporate records, certificates and other documents as we have considered necessary or desirable for the purposes of this opinion</w:t>
      </w:r>
      <w:r w:rsidR="0082214D">
        <w:t>.</w:t>
      </w:r>
      <w:r>
        <w:t>][</w:t>
      </w:r>
      <w:r w:rsidRPr="00942329">
        <w:rPr>
          <w:i/>
        </w:rPr>
        <w:t>Power &amp; Capacity opinions only</w:t>
      </w:r>
      <w:r>
        <w:t>]</w:t>
      </w:r>
    </w:p>
    <w:p w14:paraId="10A9E3A9" w14:textId="77777777" w:rsidR="0082214D" w:rsidRDefault="0082214D" w:rsidP="0082214D">
      <w:pPr>
        <w:pStyle w:val="BodyText"/>
        <w:jc w:val="center"/>
        <w:rPr>
          <w:b/>
        </w:rPr>
      </w:pPr>
      <w:r>
        <w:br w:type="page"/>
      </w:r>
      <w:r w:rsidRPr="00A773A3">
        <w:rPr>
          <w:b/>
        </w:rPr>
        <w:t>Part B</w:t>
      </w:r>
    </w:p>
    <w:p w14:paraId="608F8D3B" w14:textId="77777777" w:rsidR="0082214D" w:rsidRDefault="0082214D" w:rsidP="0082214D">
      <w:pPr>
        <w:pStyle w:val="BodyText"/>
        <w:jc w:val="center"/>
        <w:rPr>
          <w:b/>
        </w:rPr>
      </w:pPr>
      <w:r>
        <w:rPr>
          <w:b/>
        </w:rPr>
        <w:t>DOCUMENTS</w:t>
      </w:r>
    </w:p>
    <w:p w14:paraId="7E29EB2B" w14:textId="77777777" w:rsidR="0082214D" w:rsidRPr="00BB3A35" w:rsidRDefault="0082214D" w:rsidP="0082214D">
      <w:pPr>
        <w:pStyle w:val="FWSL3"/>
        <w:numPr>
          <w:ilvl w:val="0"/>
          <w:numId w:val="0"/>
        </w:numPr>
        <w:jc w:val="center"/>
        <w:rPr>
          <w:b w:val="0"/>
          <w:bCs/>
          <w:smallCaps w:val="0"/>
        </w:rPr>
      </w:pPr>
      <w:r>
        <w:t>[</w:t>
      </w:r>
      <w:r>
        <w:rPr>
          <w:b w:val="0"/>
          <w:bCs/>
          <w:smallCaps w:val="0"/>
        </w:rPr>
        <w:t>Insert documents to be reviewed for the purposes of opinion statement (c)(iii)</w:t>
      </w:r>
      <w:r w:rsidRPr="00BB3A35">
        <w:rPr>
          <w:smallCaps w:val="0"/>
        </w:rPr>
        <w:t>]</w:t>
      </w:r>
      <w:r>
        <w:rPr>
          <w:rStyle w:val="FootnoteReference"/>
          <w:b w:val="0"/>
          <w:bCs/>
          <w:smallCaps w:val="0"/>
        </w:rPr>
        <w:footnoteReference w:id="23"/>
      </w:r>
    </w:p>
    <w:p w14:paraId="292FCF8D" w14:textId="77777777" w:rsidR="0082214D" w:rsidRDefault="0082214D" w:rsidP="0082214D">
      <w:pPr>
        <w:pStyle w:val="BodyText"/>
        <w:jc w:val="center"/>
        <w:rPr>
          <w:b/>
        </w:rPr>
      </w:pPr>
      <w:r>
        <w:rPr>
          <w:b/>
        </w:rPr>
        <w:br w:type="page"/>
        <w:t>SCHEDULE 4</w:t>
      </w:r>
    </w:p>
    <w:p w14:paraId="2A3A22AD" w14:textId="77777777" w:rsidR="0082214D" w:rsidRDefault="0082214D" w:rsidP="0082214D">
      <w:pPr>
        <w:pStyle w:val="BodyText"/>
        <w:jc w:val="center"/>
        <w:rPr>
          <w:b/>
        </w:rPr>
      </w:pPr>
      <w:r>
        <w:rPr>
          <w:b/>
        </w:rPr>
        <w:t>[STANDARD LOAN DOCUMENTATION/LOANS CONSTITUTING THE PROPOSED PORTFOLIO]</w:t>
      </w:r>
      <w:r>
        <w:rPr>
          <w:rStyle w:val="FootnoteReference"/>
          <w:b/>
        </w:rPr>
        <w:footnoteReference w:id="24"/>
      </w:r>
    </w:p>
    <w:p w14:paraId="13510125" w14:textId="77777777" w:rsidR="0082214D" w:rsidRPr="003F6541" w:rsidRDefault="0082214D" w:rsidP="0082214D">
      <w:pPr>
        <w:pStyle w:val="BodyText"/>
        <w:jc w:val="center"/>
      </w:pPr>
      <w:r>
        <w:rPr>
          <w:b/>
        </w:rPr>
        <w:t>[</w:t>
      </w:r>
      <w:r>
        <w:t>Insert opinions on enforceability and assignability of the Standard Loan Documentation/Loans constituting the Proposed Portfolio</w:t>
      </w:r>
      <w:r w:rsidRPr="003F6541">
        <w:rPr>
          <w:b/>
        </w:rPr>
        <w:t>]</w:t>
      </w:r>
    </w:p>
    <w:p w14:paraId="25A5A80F" w14:textId="77777777" w:rsidR="0082214D" w:rsidRPr="00D64CC3" w:rsidRDefault="0082214D" w:rsidP="0082214D">
      <w:pPr>
        <w:pStyle w:val="BodyText"/>
        <w:jc w:val="center"/>
      </w:pPr>
    </w:p>
    <w:p w14:paraId="5F2D0317" w14:textId="77777777" w:rsidR="00B47375" w:rsidRPr="0082214D" w:rsidRDefault="00B47375" w:rsidP="0082214D"/>
    <w:sectPr w:rsidR="00B47375" w:rsidRPr="0082214D" w:rsidSect="00074463">
      <w:headerReference w:type="default" r:id="rId16"/>
      <w:footerReference w:type="default" r:id="rId17"/>
      <w:footerReference w:type="first" r:id="rId18"/>
      <w:pgSz w:w="11906" w:h="16838" w:code="9"/>
      <w:pgMar w:top="1440" w:right="1797" w:bottom="1797"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4B3FC" w14:textId="77777777" w:rsidR="00EF0452" w:rsidRDefault="00EF0452">
      <w:r>
        <w:separator/>
      </w:r>
    </w:p>
  </w:endnote>
  <w:endnote w:type="continuationSeparator" w:id="0">
    <w:p w14:paraId="31D5F27F" w14:textId="77777777" w:rsidR="00EF0452" w:rsidRDefault="00EF0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C5481" w14:textId="01E0510A" w:rsidR="006C2BC4" w:rsidRDefault="006C2BC4">
    <w:pPr>
      <w:pStyle w:val="Footer"/>
    </w:pPr>
    <w:r>
      <w:tab/>
    </w:r>
    <w:bookmarkStart w:id="5" w:name="Page"/>
    <w:bookmarkEnd w:id="5"/>
    <w:r w:rsidRPr="00942329">
      <w:t xml:space="preserve">Page </w:t>
    </w:r>
    <w:r>
      <w:rPr>
        <w:rStyle w:val="PageNumber"/>
      </w:rPr>
      <w:fldChar w:fldCharType="begin"/>
    </w:r>
    <w:r>
      <w:rPr>
        <w:rStyle w:val="PageNumber"/>
      </w:rPr>
      <w:instrText xml:space="preserve"> PAGE </w:instrText>
    </w:r>
    <w:r>
      <w:rPr>
        <w:rStyle w:val="PageNumber"/>
      </w:rPr>
      <w:fldChar w:fldCharType="separate"/>
    </w:r>
    <w:r w:rsidR="008A665F">
      <w:rPr>
        <w:rStyle w:val="PageNumber"/>
        <w:noProof/>
      </w:rPr>
      <w:t>17</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C6CFE" w14:textId="27C88BBB" w:rsidR="006C2BC4" w:rsidRPr="009616AC" w:rsidRDefault="006C2BC4">
    <w:pPr>
      <w:pStyle w:val="Footer"/>
    </w:pPr>
    <w:r w:rsidRPr="009616AC">
      <w:tab/>
    </w:r>
    <w:bookmarkStart w:id="6" w:name="AuthorInitials"/>
    <w:bookmarkEnd w:id="6"/>
    <w:r w:rsidRPr="009616AC">
      <w:t xml:space="preserve">Page </w:t>
    </w:r>
    <w:r w:rsidRPr="009616AC">
      <w:rPr>
        <w:rStyle w:val="PageNumber"/>
      </w:rPr>
      <w:fldChar w:fldCharType="begin"/>
    </w:r>
    <w:r w:rsidRPr="009616AC">
      <w:rPr>
        <w:rStyle w:val="PageNumber"/>
      </w:rPr>
      <w:instrText xml:space="preserve"> PAGE </w:instrText>
    </w:r>
    <w:r w:rsidRPr="009616AC">
      <w:rPr>
        <w:rStyle w:val="PageNumber"/>
      </w:rPr>
      <w:fldChar w:fldCharType="separate"/>
    </w:r>
    <w:r w:rsidR="008A665F">
      <w:rPr>
        <w:rStyle w:val="PageNumber"/>
        <w:noProof/>
      </w:rPr>
      <w:t>1</w:t>
    </w:r>
    <w:r w:rsidRPr="009616AC">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9039C" w14:textId="77777777" w:rsidR="00EF0452" w:rsidRDefault="00EF0452">
      <w:pPr>
        <w:pStyle w:val="FootNoteSeparator"/>
      </w:pPr>
    </w:p>
  </w:footnote>
  <w:footnote w:type="continuationSeparator" w:id="0">
    <w:p w14:paraId="00174F62" w14:textId="77777777" w:rsidR="00EF0452" w:rsidRDefault="00EF0452">
      <w:pPr>
        <w:pStyle w:val="FootNoteSeparator"/>
      </w:pPr>
    </w:p>
  </w:footnote>
  <w:footnote w:id="1">
    <w:p w14:paraId="15BCE3D1" w14:textId="77777777" w:rsidR="0082214D" w:rsidRDefault="0082214D" w:rsidP="0082214D">
      <w:pPr>
        <w:pStyle w:val="FootnoteText"/>
      </w:pPr>
      <w:r>
        <w:rPr>
          <w:rStyle w:val="FootnoteReference"/>
        </w:rPr>
        <w:footnoteRef/>
      </w:r>
      <w:r>
        <w:t xml:space="preserve"> </w:t>
      </w:r>
      <w:r>
        <w:tab/>
        <w:t xml:space="preserve">This opinion is required to be given by Scots law counsel to the Participant in respect of each Proposed Portfolio to be pre-positioned under any Facility. This pro forma opinion contains certain opinion statements which are required if any proposed or future Loan Transaction relating to the Proposed Portfolio listed in Schedule 4, involves or will involve: </w:t>
      </w:r>
    </w:p>
    <w:p w14:paraId="0A7C8C4A" w14:textId="77777777" w:rsidR="0082214D" w:rsidRDefault="0082214D" w:rsidP="0082214D">
      <w:pPr>
        <w:pStyle w:val="FootnoteText"/>
        <w:numPr>
          <w:ilvl w:val="0"/>
          <w:numId w:val="47"/>
        </w:numPr>
      </w:pPr>
      <w:r>
        <w:t xml:space="preserve">a Participant incorporated in Scotland; </w:t>
      </w:r>
    </w:p>
    <w:p w14:paraId="671EB1AC" w14:textId="77777777" w:rsidR="0082214D" w:rsidRDefault="0082214D" w:rsidP="0082214D">
      <w:pPr>
        <w:pStyle w:val="FootnoteText"/>
        <w:numPr>
          <w:ilvl w:val="0"/>
          <w:numId w:val="47"/>
        </w:numPr>
      </w:pPr>
      <w:r>
        <w:t>borrowers domiciled or residing in Scotland; and/or</w:t>
      </w:r>
    </w:p>
    <w:p w14:paraId="1F92F591" w14:textId="77777777" w:rsidR="0082214D" w:rsidRDefault="0082214D" w:rsidP="0082214D">
      <w:pPr>
        <w:pStyle w:val="FootnoteText"/>
        <w:numPr>
          <w:ilvl w:val="0"/>
          <w:numId w:val="47"/>
        </w:numPr>
      </w:pPr>
      <w:r>
        <w:t>Mortgage Loans/Loans governed by the laws of</w:t>
      </w:r>
      <w:r w:rsidRPr="00F0611F">
        <w:t xml:space="preserve"> </w:t>
      </w:r>
      <w:r>
        <w:t xml:space="preserve">Scotland. </w:t>
      </w:r>
    </w:p>
    <w:p w14:paraId="63E38C99" w14:textId="77777777" w:rsidR="0082214D" w:rsidRDefault="0082214D" w:rsidP="0082214D">
      <w:pPr>
        <w:pStyle w:val="FootnoteText"/>
        <w:ind w:firstLine="0"/>
      </w:pPr>
      <w:r>
        <w:t xml:space="preserve">If there is an English and/or Northern Irish element to a Loan Transaction then an English law and/or Northern Irish law opinion will be required.  If any element of a Mortgage Loan Transaction involves a jurisdiction other than England and Wales, Northern Ireland or Scotland (for example, borrowers domiciled in France) then an additional legal opinion will be required from counsel in that jurisdiction. Explanatory footnotes in this opinion indicate the opinion statements required for a particular type of Loan Transaction.    </w:t>
      </w:r>
    </w:p>
  </w:footnote>
  <w:footnote w:id="2">
    <w:p w14:paraId="2B95AA04" w14:textId="200D8481" w:rsidR="00F16180" w:rsidRDefault="00F16180" w:rsidP="00942329">
      <w:pPr>
        <w:pStyle w:val="FootnoteText"/>
        <w:jc w:val="left"/>
      </w:pPr>
      <w:r>
        <w:rPr>
          <w:rStyle w:val="FootnoteReference"/>
        </w:rPr>
        <w:footnoteRef/>
      </w:r>
      <w:r>
        <w:t xml:space="preserve"> </w:t>
      </w:r>
      <w:r w:rsidR="00942329">
        <w:tab/>
      </w:r>
      <w:r>
        <w:t xml:space="preserve">This paragraph should be updated as necessary when the exercise is an updated due diligence </w:t>
      </w:r>
      <w:r w:rsidR="00063C90">
        <w:t>review</w:t>
      </w:r>
      <w:r w:rsidR="00942329">
        <w:t xml:space="preserve">   </w:t>
      </w:r>
      <w:r>
        <w:t>or top-up prepositioning.</w:t>
      </w:r>
    </w:p>
  </w:footnote>
  <w:footnote w:id="3">
    <w:p w14:paraId="27A82C87" w14:textId="5251D275" w:rsidR="00F16180" w:rsidRDefault="00F16180" w:rsidP="00942329">
      <w:pPr>
        <w:pStyle w:val="FootnoteText"/>
        <w:jc w:val="left"/>
      </w:pPr>
      <w:r>
        <w:rPr>
          <w:rStyle w:val="FootnoteReference"/>
        </w:rPr>
        <w:footnoteRef/>
      </w:r>
      <w:r>
        <w:t xml:space="preserve"> </w:t>
      </w:r>
      <w:r w:rsidR="00942329">
        <w:tab/>
      </w:r>
      <w:r>
        <w:t>In circumstances where the Participant has not entered into a TFS Annex, references to the TFS Annex should be removed, however references to the TFS Terms and Conditions</w:t>
      </w:r>
      <w:r w:rsidR="00D96F2D">
        <w:t xml:space="preserve"> </w:t>
      </w:r>
      <w:r>
        <w:t xml:space="preserve">as amended by the </w:t>
      </w:r>
      <w:r w:rsidR="00063C90">
        <w:t>Market</w:t>
      </w:r>
      <w:r>
        <w:t xml:space="preserve"> Notices should remain. </w:t>
      </w:r>
      <w:r w:rsidR="00431556">
        <w:t>Further, r</w:t>
      </w:r>
      <w:r w:rsidR="009A1745">
        <w:t xml:space="preserve">eferences to the </w:t>
      </w:r>
      <w:r w:rsidR="00431556">
        <w:t>“</w:t>
      </w:r>
      <w:r w:rsidR="009A1745">
        <w:t>SMF</w:t>
      </w:r>
      <w:r w:rsidR="00431556">
        <w:t xml:space="preserve">/FLS/TFSME Annex” or the “Annexes” should be updated to refer to the “Annex”. </w:t>
      </w:r>
    </w:p>
  </w:footnote>
  <w:footnote w:id="4">
    <w:p w14:paraId="79C0FF0C" w14:textId="77777777" w:rsidR="0082214D" w:rsidRDefault="0082214D" w:rsidP="0082214D">
      <w:pPr>
        <w:pStyle w:val="FootnoteText"/>
      </w:pPr>
      <w:r>
        <w:rPr>
          <w:rStyle w:val="FootnoteReference"/>
        </w:rPr>
        <w:footnoteRef/>
      </w:r>
      <w:r>
        <w:t xml:space="preserve"> </w:t>
      </w:r>
      <w:r>
        <w:tab/>
        <w:t>To be included if counsel is opining on Standard Loan Documentation governed by Scots law and amended as appropriate for asset classes such as bespoke corporate loans where actual individual loan documents are reviewed rather that "standard" documents.</w:t>
      </w:r>
    </w:p>
  </w:footnote>
  <w:footnote w:id="5">
    <w:p w14:paraId="7C055E8D" w14:textId="77777777" w:rsidR="0082214D" w:rsidRDefault="0082214D" w:rsidP="0082214D">
      <w:pPr>
        <w:pStyle w:val="FootnoteText"/>
      </w:pPr>
      <w:r>
        <w:rPr>
          <w:rStyle w:val="FootnoteReference"/>
        </w:rPr>
        <w:footnoteRef/>
      </w:r>
      <w:r>
        <w:t xml:space="preserve"> </w:t>
      </w:r>
      <w:r>
        <w:tab/>
        <w:t>As above.</w:t>
      </w:r>
    </w:p>
  </w:footnote>
  <w:footnote w:id="6">
    <w:p w14:paraId="75093657" w14:textId="77777777" w:rsidR="0082214D" w:rsidRDefault="0082214D" w:rsidP="0082214D">
      <w:pPr>
        <w:pStyle w:val="FootnoteText"/>
      </w:pPr>
      <w:r>
        <w:rPr>
          <w:rStyle w:val="FootnoteReference"/>
        </w:rPr>
        <w:footnoteRef/>
      </w:r>
      <w:r>
        <w:t xml:space="preserve"> </w:t>
      </w:r>
      <w:r>
        <w:tab/>
        <w:t>To be included in the opinion if the Participant is incorporated in Scotland.</w:t>
      </w:r>
    </w:p>
  </w:footnote>
  <w:footnote w:id="7">
    <w:p w14:paraId="7D768FD4" w14:textId="0853ED2D" w:rsidR="0082214D" w:rsidRDefault="0082214D" w:rsidP="0082214D">
      <w:pPr>
        <w:pStyle w:val="FootnoteText"/>
      </w:pPr>
      <w:r>
        <w:rPr>
          <w:rStyle w:val="FootnoteReference"/>
        </w:rPr>
        <w:footnoteRef/>
      </w:r>
      <w:r>
        <w:t xml:space="preserve"> </w:t>
      </w:r>
      <w:r>
        <w:tab/>
        <w:t>To be included if there are Scottish Mortgage Loans/Loans in the Proposed Portfolio.</w:t>
      </w:r>
      <w:r w:rsidR="00F16180">
        <w:t xml:space="preserve"> To be amended depending on the version of Annex entered into by the Participant and updated to include references to the relevant schedules in the TFS Annex</w:t>
      </w:r>
      <w:r w:rsidR="000653B6">
        <w:t xml:space="preserve"> e.g. [Schedule 5 (Assignation of Scottish Loan Guarantees) to the TFS Annex, Schedule 4B (Form of Scottish Declaration of Trust) to the TFS Annex and Schedule 4A (Form of Scottish Transfers)]</w:t>
      </w:r>
    </w:p>
  </w:footnote>
  <w:footnote w:id="8">
    <w:p w14:paraId="4878AB55" w14:textId="77777777" w:rsidR="0082214D" w:rsidRDefault="0082214D" w:rsidP="0082214D">
      <w:pPr>
        <w:pStyle w:val="FootnoteText"/>
      </w:pPr>
      <w:r>
        <w:rPr>
          <w:rStyle w:val="FootnoteReference"/>
        </w:rPr>
        <w:footnoteRef/>
      </w:r>
      <w:r>
        <w:t xml:space="preserve"> </w:t>
      </w:r>
      <w:r>
        <w:tab/>
        <w:t>To be included if there are Northern Irish Mortgage Loans/Loans in the Proposed Portfolio.</w:t>
      </w:r>
    </w:p>
  </w:footnote>
  <w:footnote w:id="9">
    <w:p w14:paraId="5851A455" w14:textId="3F37DAEA" w:rsidR="000653B6" w:rsidRDefault="000653B6">
      <w:pPr>
        <w:pStyle w:val="FootnoteText"/>
      </w:pPr>
      <w:r>
        <w:rPr>
          <w:rStyle w:val="FootnoteReference"/>
        </w:rPr>
        <w:footnoteRef/>
      </w:r>
      <w:r>
        <w:t xml:space="preserve"> </w:t>
      </w:r>
      <w:r w:rsidR="007F7C59">
        <w:t xml:space="preserve">    </w:t>
      </w:r>
      <w:bookmarkStart w:id="1" w:name="_Hlk36205125"/>
      <w:r>
        <w:t>Reference should also be made to the applicable jurisdiction clauses contained in the FLS</w:t>
      </w:r>
      <w:r w:rsidR="00D96F2D">
        <w:t>,</w:t>
      </w:r>
      <w:r>
        <w:t xml:space="preserve"> TFS</w:t>
      </w:r>
      <w:r w:rsidR="00D96F2D">
        <w:t xml:space="preserve"> and TFSME</w:t>
      </w:r>
      <w:r>
        <w:t xml:space="preserve"> Terms and Conditions.</w:t>
      </w:r>
      <w:bookmarkEnd w:id="1"/>
    </w:p>
  </w:footnote>
  <w:footnote w:id="10">
    <w:p w14:paraId="4F1A4385" w14:textId="77777777" w:rsidR="0082214D" w:rsidRDefault="0082214D" w:rsidP="0082214D">
      <w:pPr>
        <w:pStyle w:val="FootnoteText"/>
      </w:pPr>
      <w:r>
        <w:rPr>
          <w:rStyle w:val="FootnoteReference"/>
        </w:rPr>
        <w:footnoteRef/>
      </w:r>
      <w:r>
        <w:t xml:space="preserve"> </w:t>
      </w:r>
      <w:r>
        <w:tab/>
        <w:t xml:space="preserve">Include if opining on a Proposed Portfolio containing Mortgage Loans governed by Scots law.  </w:t>
      </w:r>
    </w:p>
  </w:footnote>
  <w:footnote w:id="11">
    <w:p w14:paraId="3D9D1BB6" w14:textId="77777777" w:rsidR="0082214D" w:rsidRDefault="0082214D" w:rsidP="0082214D">
      <w:pPr>
        <w:pStyle w:val="FootnoteText"/>
      </w:pPr>
      <w:r>
        <w:rPr>
          <w:rStyle w:val="FootnoteReference"/>
        </w:rPr>
        <w:footnoteRef/>
      </w:r>
      <w:r>
        <w:t xml:space="preserve"> </w:t>
      </w:r>
      <w:r>
        <w:tab/>
        <w:t>To be included if Standard Loan Documentation is governed by Scots law and amended as appropriate for bespoke corporate loans and other less granular pools where all loan documentation for actual loans in pool is reviewed.</w:t>
      </w:r>
    </w:p>
  </w:footnote>
  <w:footnote w:id="12">
    <w:p w14:paraId="4F3CD927" w14:textId="77777777" w:rsidR="0082214D" w:rsidRDefault="0082214D" w:rsidP="0082214D">
      <w:pPr>
        <w:pStyle w:val="FootnoteText"/>
      </w:pPr>
      <w:r>
        <w:rPr>
          <w:rStyle w:val="FootnoteReference"/>
        </w:rPr>
        <w:footnoteRef/>
      </w:r>
      <w:r>
        <w:t xml:space="preserve"> The Bank will accept additional assumptions but only if it believes such assumptions are fair and reasonable and/or that such assumptions are necessary in relation to the type of loan included in the Proposed Portfolio.  </w:t>
      </w:r>
    </w:p>
  </w:footnote>
  <w:footnote w:id="13">
    <w:p w14:paraId="6C63844F" w14:textId="77777777" w:rsidR="0082214D" w:rsidRDefault="0082214D" w:rsidP="0082214D">
      <w:pPr>
        <w:pStyle w:val="FootnoteText"/>
      </w:pPr>
      <w:r>
        <w:rPr>
          <w:rStyle w:val="FootnoteReference"/>
        </w:rPr>
        <w:footnoteRef/>
      </w:r>
      <w:r>
        <w:t xml:space="preserve"> </w:t>
      </w:r>
      <w:r>
        <w:tab/>
        <w:t>Delete as appropriate.</w:t>
      </w:r>
    </w:p>
  </w:footnote>
  <w:footnote w:id="14">
    <w:p w14:paraId="2D3D2388" w14:textId="13FCA57E" w:rsidR="00EB71EA" w:rsidRDefault="00EB71EA">
      <w:pPr>
        <w:pStyle w:val="FootnoteText"/>
      </w:pPr>
      <w:r>
        <w:rPr>
          <w:rStyle w:val="FootnoteReference"/>
        </w:rPr>
        <w:footnoteRef/>
      </w:r>
      <w:r>
        <w:t xml:space="preserve"> References should be updated as required in light of version of SMF/FLS</w:t>
      </w:r>
      <w:r w:rsidR="00490F50">
        <w:t>/TFSME</w:t>
      </w:r>
      <w:r>
        <w:t xml:space="preserve"> Annex entered into by the Participant. References should also include reference to the TFS Annex if same has been entered into by the Participant at the date the legal opinion is issued.</w:t>
      </w:r>
    </w:p>
  </w:footnote>
  <w:footnote w:id="15">
    <w:p w14:paraId="1D88E715" w14:textId="77777777" w:rsidR="0082214D" w:rsidRDefault="0082214D" w:rsidP="0082214D">
      <w:pPr>
        <w:pStyle w:val="FootnoteText"/>
      </w:pPr>
      <w:r>
        <w:rPr>
          <w:rStyle w:val="FootnoteReference"/>
        </w:rPr>
        <w:footnoteRef/>
      </w:r>
      <w:r>
        <w:t xml:space="preserve"> </w:t>
      </w:r>
      <w:r>
        <w:tab/>
        <w:t>Delete as appropriate.</w:t>
      </w:r>
    </w:p>
  </w:footnote>
  <w:footnote w:id="16">
    <w:p w14:paraId="2815DFD4" w14:textId="77777777" w:rsidR="0082214D" w:rsidRDefault="0082214D" w:rsidP="0082214D">
      <w:pPr>
        <w:pStyle w:val="FootnoteText"/>
      </w:pPr>
      <w:r>
        <w:rPr>
          <w:rStyle w:val="FootnoteReference"/>
        </w:rPr>
        <w:footnoteRef/>
      </w:r>
      <w:r>
        <w:t xml:space="preserve"> </w:t>
      </w:r>
      <w:r>
        <w:tab/>
        <w:t>To be included if Mortgage Loans/Loans to be transferred by way of assignment or declaration of trust.</w:t>
      </w:r>
    </w:p>
  </w:footnote>
  <w:footnote w:id="17">
    <w:p w14:paraId="6A38A1A1" w14:textId="77777777" w:rsidR="0082214D" w:rsidRDefault="0082214D" w:rsidP="0082214D">
      <w:pPr>
        <w:pStyle w:val="FootnoteText"/>
      </w:pPr>
      <w:r>
        <w:rPr>
          <w:rStyle w:val="FootnoteReference"/>
        </w:rPr>
        <w:footnoteRef/>
      </w:r>
      <w:r>
        <w:t xml:space="preserve"> </w:t>
      </w:r>
      <w:r>
        <w:tab/>
        <w:t>To be included if Mortgage Loans/Loans to be transferred by way of security.</w:t>
      </w:r>
    </w:p>
  </w:footnote>
  <w:footnote w:id="18">
    <w:p w14:paraId="199D809F" w14:textId="77777777" w:rsidR="0082214D" w:rsidRDefault="0082214D" w:rsidP="0082214D">
      <w:pPr>
        <w:pStyle w:val="FootnoteText"/>
      </w:pPr>
      <w:r>
        <w:rPr>
          <w:rStyle w:val="FootnoteReference"/>
        </w:rPr>
        <w:footnoteRef/>
      </w:r>
      <w:r>
        <w:t xml:space="preserve"> </w:t>
      </w:r>
      <w:r>
        <w:tab/>
        <w:t>Delete as appropriate.</w:t>
      </w:r>
    </w:p>
  </w:footnote>
  <w:footnote w:id="19">
    <w:p w14:paraId="4A5C1327" w14:textId="77777777" w:rsidR="0082214D" w:rsidRDefault="0082214D" w:rsidP="0082214D">
      <w:pPr>
        <w:pStyle w:val="FootnoteText"/>
      </w:pPr>
      <w:r>
        <w:rPr>
          <w:rStyle w:val="FootnoteReference"/>
        </w:rPr>
        <w:footnoteRef/>
      </w:r>
      <w:r>
        <w:t xml:space="preserve"> </w:t>
      </w:r>
      <w:r>
        <w:tab/>
        <w:t>Delete as appropriate.</w:t>
      </w:r>
    </w:p>
  </w:footnote>
  <w:footnote w:id="20">
    <w:p w14:paraId="49578C45" w14:textId="77777777" w:rsidR="0082214D" w:rsidRDefault="0082214D" w:rsidP="0082214D">
      <w:pPr>
        <w:pStyle w:val="FootnoteText"/>
      </w:pPr>
      <w:r>
        <w:rPr>
          <w:rStyle w:val="FootnoteReference"/>
        </w:rPr>
        <w:footnoteRef/>
      </w:r>
      <w:r>
        <w:t xml:space="preserve"> The Bank will accept additional qualifications but only if it believes such qualifications are fair and reasonable and/or that such qualifications are necessary in relation to the type of loan included in the Proposed Portfolio.  </w:t>
      </w:r>
    </w:p>
  </w:footnote>
  <w:footnote w:id="21">
    <w:p w14:paraId="3EAD0962" w14:textId="77777777" w:rsidR="0082214D" w:rsidRDefault="0082214D" w:rsidP="0082214D">
      <w:pPr>
        <w:pStyle w:val="FootnoteText"/>
      </w:pPr>
      <w:r>
        <w:rPr>
          <w:rStyle w:val="FootnoteReference"/>
        </w:rPr>
        <w:footnoteRef/>
      </w:r>
      <w:r>
        <w:t xml:space="preserve"> </w:t>
      </w:r>
      <w:r>
        <w:tab/>
        <w:t>Delete as appropriate.</w:t>
      </w:r>
    </w:p>
  </w:footnote>
  <w:footnote w:id="22">
    <w:p w14:paraId="216B38AE" w14:textId="77777777" w:rsidR="00A26D07" w:rsidRDefault="00A26D07" w:rsidP="00A26D07">
      <w:pPr>
        <w:pStyle w:val="FootnoteText"/>
      </w:pPr>
      <w:r>
        <w:rPr>
          <w:rStyle w:val="FootnoteReference"/>
        </w:rPr>
        <w:footnoteRef/>
      </w:r>
      <w:r>
        <w:t xml:space="preserve"> </w:t>
      </w:r>
      <w:r>
        <w:tab/>
        <w:t>Delete as appropriate.</w:t>
      </w:r>
    </w:p>
  </w:footnote>
  <w:footnote w:id="23">
    <w:p w14:paraId="0F4DD809" w14:textId="77777777" w:rsidR="0082214D" w:rsidRDefault="0082214D" w:rsidP="0082214D">
      <w:pPr>
        <w:pStyle w:val="FootnoteText"/>
      </w:pPr>
      <w:r>
        <w:rPr>
          <w:rStyle w:val="FootnoteReference"/>
        </w:rPr>
        <w:footnoteRef/>
      </w:r>
      <w:r>
        <w:t xml:space="preserve"> </w:t>
      </w:r>
      <w:r>
        <w:tab/>
        <w:t xml:space="preserve">The Participant and the Bank will agree the scope of documents to be reviewed by Participant’s counsel for the purposes of providing opinion statement (c)(iii).  The list may include documents relating to EMTN programmes, commercial paper programmes, covered bond programmes and any other programme relevant to the Participant’s business.  </w:t>
      </w:r>
    </w:p>
  </w:footnote>
  <w:footnote w:id="24">
    <w:p w14:paraId="3865862B" w14:textId="77777777" w:rsidR="0082214D" w:rsidRDefault="0082214D" w:rsidP="0082214D">
      <w:pPr>
        <w:pStyle w:val="FootnoteText"/>
      </w:pPr>
      <w:r>
        <w:rPr>
          <w:rStyle w:val="FootnoteReference"/>
        </w:rPr>
        <w:footnoteRef/>
      </w:r>
      <w:r>
        <w:t xml:space="preserve"> See footnote 8.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74854" w14:textId="77777777" w:rsidR="006C2BC4" w:rsidRDefault="006C2BC4">
    <w:pPr>
      <w:pStyle w:val="HeaderCPN"/>
    </w:pPr>
    <w:bookmarkStart w:id="4" w:name="HPN"/>
    <w:bookmarkEnd w:id="4"/>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91C47B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2E8893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56CAE5AE"/>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98C33F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4865C74"/>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1EFA26CC"/>
    <w:multiLevelType w:val="hybridMultilevel"/>
    <w:tmpl w:val="D470716C"/>
    <w:lvl w:ilvl="0" w:tplc="A2E81046">
      <w:start w:val="1"/>
      <w:numFmt w:val="decimal"/>
      <w:pStyle w:val="FWPartie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D13FA3"/>
    <w:multiLevelType w:val="multilevel"/>
    <w:tmpl w:val="A0768158"/>
    <w:lvl w:ilvl="0">
      <w:start w:val="1"/>
      <w:numFmt w:val="decimal"/>
      <w:pStyle w:val="FWSL1"/>
      <w:suff w:val="nothing"/>
      <w:lvlText w:val="Schedule %1"/>
      <w:lvlJc w:val="left"/>
      <w:pPr>
        <w:tabs>
          <w:tab w:val="num" w:pos="0"/>
        </w:tabs>
        <w:ind w:left="0" w:firstLine="0"/>
      </w:pPr>
      <w:rPr>
        <w:rFonts w:ascii="Times New Roman" w:hAnsi="Times New Roman" w:cs="Times New Roman"/>
        <w:b/>
        <w:i w:val="0"/>
        <w:caps/>
        <w:smallCaps w:val="0"/>
        <w:color w:val="auto"/>
        <w:u w:val="none"/>
      </w:rPr>
    </w:lvl>
    <w:lvl w:ilvl="1">
      <w:start w:val="1"/>
      <w:numFmt w:val="upperLetter"/>
      <w:pStyle w:val="FWSL2"/>
      <w:suff w:val="space"/>
      <w:lvlText w:val="Part %2"/>
      <w:lvlJc w:val="left"/>
      <w:pPr>
        <w:tabs>
          <w:tab w:val="num" w:pos="720"/>
        </w:tabs>
        <w:ind w:left="0" w:firstLine="0"/>
      </w:pPr>
      <w:rPr>
        <w:rFonts w:ascii="Times New Roman" w:hAnsi="Times New Roman" w:cs="Times New Roman"/>
        <w:b/>
        <w:i w:val="0"/>
        <w:caps w:val="0"/>
        <w:color w:val="auto"/>
        <w:u w:val="none"/>
      </w:rPr>
    </w:lvl>
    <w:lvl w:ilvl="2">
      <w:start w:val="1"/>
      <w:numFmt w:val="decimal"/>
      <w:pStyle w:val="FWSL3"/>
      <w:lvlText w:val="%3."/>
      <w:lvlJc w:val="left"/>
      <w:pPr>
        <w:tabs>
          <w:tab w:val="num" w:pos="720"/>
        </w:tabs>
        <w:ind w:left="0" w:firstLine="0"/>
      </w:pPr>
      <w:rPr>
        <w:rFonts w:ascii="Times New Roman" w:hAnsi="Times New Roman" w:cs="Times New Roman"/>
        <w:b/>
        <w:i w:val="0"/>
        <w:caps w:val="0"/>
        <w:color w:val="auto"/>
        <w:u w:val="none"/>
      </w:rPr>
    </w:lvl>
    <w:lvl w:ilvl="3">
      <w:start w:val="1"/>
      <w:numFmt w:val="decimal"/>
      <w:pStyle w:val="FWSL4"/>
      <w:lvlText w:val="%4."/>
      <w:lvlJc w:val="left"/>
      <w:pPr>
        <w:tabs>
          <w:tab w:val="num" w:pos="720"/>
        </w:tabs>
        <w:ind w:left="0" w:firstLine="0"/>
      </w:pPr>
      <w:rPr>
        <w:rFonts w:ascii="Times New Roman" w:hAnsi="Times New Roman" w:cs="Times New Roman"/>
        <w:b w:val="0"/>
        <w:i w:val="0"/>
        <w:caps w:val="0"/>
        <w:color w:val="auto"/>
        <w:u w:val="none"/>
      </w:rPr>
    </w:lvl>
    <w:lvl w:ilvl="4">
      <w:start w:val="1"/>
      <w:numFmt w:val="decimal"/>
      <w:pStyle w:val="FWSL5"/>
      <w:lvlText w:val="%3.%5"/>
      <w:lvlJc w:val="left"/>
      <w:pPr>
        <w:tabs>
          <w:tab w:val="num" w:pos="720"/>
        </w:tabs>
        <w:ind w:left="0" w:firstLine="0"/>
      </w:pPr>
      <w:rPr>
        <w:rFonts w:ascii="Times New Roman" w:hAnsi="Times New Roman" w:cs="Times New Roman"/>
        <w:b w:val="0"/>
        <w:i w:val="0"/>
        <w:caps w:val="0"/>
        <w:color w:val="auto"/>
        <w:u w:val="none"/>
      </w:rPr>
    </w:lvl>
    <w:lvl w:ilvl="5">
      <w:start w:val="1"/>
      <w:numFmt w:val="lowerLetter"/>
      <w:pStyle w:val="FWSL6"/>
      <w:lvlText w:val="(%6)"/>
      <w:lvlJc w:val="left"/>
      <w:pPr>
        <w:tabs>
          <w:tab w:val="num" w:pos="720"/>
        </w:tabs>
        <w:ind w:left="720" w:hanging="720"/>
      </w:pPr>
      <w:rPr>
        <w:rFonts w:ascii="Times New Roman" w:hAnsi="Times New Roman" w:cs="Times New Roman"/>
        <w:b w:val="0"/>
        <w:i w:val="0"/>
        <w:caps w:val="0"/>
        <w:color w:val="auto"/>
        <w:u w:val="none"/>
      </w:rPr>
    </w:lvl>
    <w:lvl w:ilvl="6">
      <w:start w:val="1"/>
      <w:numFmt w:val="lowerRoman"/>
      <w:pStyle w:val="FWSL7"/>
      <w:lvlText w:val="(%7)"/>
      <w:lvlJc w:val="right"/>
      <w:pPr>
        <w:tabs>
          <w:tab w:val="num" w:pos="1440"/>
        </w:tabs>
        <w:ind w:left="1440" w:hanging="216"/>
      </w:pPr>
      <w:rPr>
        <w:rFonts w:ascii="Times New Roman" w:hAnsi="Times New Roman" w:cs="Times New Roman"/>
        <w:b w:val="0"/>
        <w:i w:val="0"/>
        <w:caps w:val="0"/>
        <w:color w:val="auto"/>
        <w:u w:val="none"/>
      </w:rPr>
    </w:lvl>
    <w:lvl w:ilvl="7">
      <w:start w:val="1"/>
      <w:numFmt w:val="upperLetter"/>
      <w:pStyle w:val="FWSL8"/>
      <w:lvlText w:val="(%8)"/>
      <w:lvlJc w:val="left"/>
      <w:pPr>
        <w:tabs>
          <w:tab w:val="num" w:pos="2160"/>
        </w:tabs>
        <w:ind w:left="2160" w:hanging="720"/>
      </w:pPr>
      <w:rPr>
        <w:rFonts w:ascii="Times New Roman" w:hAnsi="Times New Roman" w:cs="Times New Roman"/>
        <w:b w:val="0"/>
        <w:i w:val="0"/>
        <w:caps w:val="0"/>
        <w:color w:val="auto"/>
        <w:u w:val="none"/>
      </w:rPr>
    </w:lvl>
    <w:lvl w:ilvl="8">
      <w:start w:val="1"/>
      <w:numFmt w:val="upperRoman"/>
      <w:pStyle w:val="FWSL9"/>
      <w:lvlText w:val="(%9)"/>
      <w:lvlJc w:val="right"/>
      <w:pPr>
        <w:tabs>
          <w:tab w:val="num" w:pos="2880"/>
        </w:tabs>
        <w:ind w:left="2880" w:hanging="216"/>
      </w:pPr>
      <w:rPr>
        <w:rFonts w:ascii="Times New Roman" w:hAnsi="Times New Roman" w:cs="Times New Roman"/>
        <w:b w:val="0"/>
        <w:i w:val="0"/>
        <w:caps w:val="0"/>
        <w:color w:val="auto"/>
        <w:u w:val="none"/>
      </w:rPr>
    </w:lvl>
  </w:abstractNum>
  <w:abstractNum w:abstractNumId="7" w15:restartNumberingAfterBreak="0">
    <w:nsid w:val="2F2F5745"/>
    <w:multiLevelType w:val="hybridMultilevel"/>
    <w:tmpl w:val="5BA6818C"/>
    <w:lvl w:ilvl="0" w:tplc="C0EEEF2E">
      <w:start w:val="4"/>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35665AE1"/>
    <w:multiLevelType w:val="multilevel"/>
    <w:tmpl w:val="F7FAB6D2"/>
    <w:lvl w:ilvl="0">
      <w:start w:val="1"/>
      <w:numFmt w:val="decimal"/>
      <w:lvlRestart w:val="0"/>
      <w:pStyle w:val="FWNL1"/>
      <w:lvlText w:val="%1."/>
      <w:lvlJc w:val="left"/>
      <w:pPr>
        <w:tabs>
          <w:tab w:val="num" w:pos="720"/>
        </w:tabs>
        <w:ind w:left="0" w:firstLine="0"/>
      </w:pPr>
      <w:rPr>
        <w:rFonts w:ascii="Times New Roman" w:hAnsi="Times New Roman"/>
        <w:b w:val="0"/>
        <w:i w:val="0"/>
        <w:caps w:val="0"/>
        <w:color w:val="auto"/>
        <w:u w:val="none"/>
      </w:rPr>
    </w:lvl>
    <w:lvl w:ilvl="1">
      <w:start w:val="8"/>
      <w:numFmt w:val="lowerLetter"/>
      <w:lvlText w:val="(%2)"/>
      <w:lvlJc w:val="left"/>
      <w:pPr>
        <w:tabs>
          <w:tab w:val="num" w:pos="436"/>
        </w:tabs>
        <w:ind w:left="436" w:hanging="436"/>
      </w:pPr>
      <w:rPr>
        <w:rFonts w:hint="default"/>
        <w:b w:val="0"/>
        <w:i w:val="0"/>
        <w:caps w:val="0"/>
        <w:color w:val="auto"/>
        <w:u w:val="none"/>
      </w:rPr>
    </w:lvl>
    <w:lvl w:ilvl="2">
      <w:start w:val="1"/>
      <w:numFmt w:val="lowerRoman"/>
      <w:pStyle w:val="FWNL3"/>
      <w:lvlText w:val="(%3)"/>
      <w:lvlJc w:val="right"/>
      <w:pPr>
        <w:tabs>
          <w:tab w:val="num" w:pos="1440"/>
        </w:tabs>
        <w:ind w:left="1440" w:hanging="216"/>
      </w:pPr>
      <w:rPr>
        <w:rFonts w:ascii="Times New Roman" w:hAnsi="Times New Roman"/>
        <w:b w:val="0"/>
        <w:i w:val="0"/>
        <w:caps w:val="0"/>
        <w:color w:val="auto"/>
        <w:u w:val="none"/>
      </w:rPr>
    </w:lvl>
    <w:lvl w:ilvl="3">
      <w:start w:val="1"/>
      <w:numFmt w:val="upperLetter"/>
      <w:pStyle w:val="FWNL4"/>
      <w:lvlText w:val="(%4)"/>
      <w:lvlJc w:val="left"/>
      <w:pPr>
        <w:tabs>
          <w:tab w:val="num" w:pos="2160"/>
        </w:tabs>
        <w:ind w:left="2160" w:hanging="720"/>
      </w:pPr>
      <w:rPr>
        <w:rFonts w:ascii="Times New Roman" w:hAnsi="Times New Roman"/>
        <w:b w:val="0"/>
        <w:i w:val="0"/>
        <w:caps w:val="0"/>
        <w:color w:val="auto"/>
        <w:u w:val="none"/>
      </w:rPr>
    </w:lvl>
    <w:lvl w:ilvl="4">
      <w:start w:val="1"/>
      <w:numFmt w:val="upperRoman"/>
      <w:pStyle w:val="FWNL5"/>
      <w:lvlText w:val="(%5)"/>
      <w:lvlJc w:val="right"/>
      <w:pPr>
        <w:tabs>
          <w:tab w:val="num" w:pos="2880"/>
        </w:tabs>
        <w:ind w:left="2880" w:hanging="216"/>
      </w:pPr>
      <w:rPr>
        <w:rFonts w:ascii="Times New Roman" w:hAnsi="Times New Roman"/>
        <w:b w:val="0"/>
        <w:i w:val="0"/>
        <w:caps w:val="0"/>
        <w:color w:val="auto"/>
        <w:u w:val="none"/>
      </w:rPr>
    </w:lvl>
    <w:lvl w:ilvl="5">
      <w:start w:val="27"/>
      <w:numFmt w:val="lowerLetter"/>
      <w:pStyle w:val="FWNL6"/>
      <w:lvlText w:val="(%6)"/>
      <w:lvlJc w:val="left"/>
      <w:pPr>
        <w:tabs>
          <w:tab w:val="num" w:pos="3600"/>
        </w:tabs>
        <w:ind w:left="3600" w:hanging="720"/>
      </w:pPr>
      <w:rPr>
        <w:rFonts w:ascii="Times New Roman" w:hAnsi="Times New Roman"/>
        <w:b w:val="0"/>
        <w:i w:val="0"/>
        <w:caps w:val="0"/>
        <w:color w:val="auto"/>
        <w:u w:val="none"/>
      </w:rPr>
    </w:lvl>
    <w:lvl w:ilvl="6">
      <w:start w:val="1"/>
      <w:numFmt w:val="decimal"/>
      <w:pStyle w:val="FWNL7"/>
      <w:lvlText w:val="(%7)"/>
      <w:lvlJc w:val="left"/>
      <w:pPr>
        <w:tabs>
          <w:tab w:val="num" w:pos="4320"/>
        </w:tabs>
        <w:ind w:left="4320" w:hanging="720"/>
      </w:pPr>
      <w:rPr>
        <w:rFonts w:ascii="Times New Roman" w:hAnsi="Times New Roman"/>
        <w:b w:val="0"/>
        <w:i w:val="0"/>
        <w:caps w:val="0"/>
        <w:color w:val="auto"/>
        <w:u w:val="none"/>
      </w:rPr>
    </w:lvl>
    <w:lvl w:ilvl="7">
      <w:start w:val="1"/>
      <w:numFmt w:val="lowerRoman"/>
      <w:lvlText w:val="%8."/>
      <w:lvlJc w:val="left"/>
      <w:pPr>
        <w:tabs>
          <w:tab w:val="num" w:pos="5760"/>
        </w:tabs>
        <w:ind w:left="0" w:firstLine="5040"/>
      </w:pPr>
      <w:rPr>
        <w:rFonts w:ascii="Times New Roman" w:hAnsi="Times New Roman"/>
        <w:b w:val="0"/>
        <w:i w:val="0"/>
        <w:caps w:val="0"/>
        <w:color w:val="auto"/>
        <w:u w:val="none"/>
      </w:rPr>
    </w:lvl>
    <w:lvl w:ilvl="8">
      <w:start w:val="1"/>
      <w:numFmt w:val="decimal"/>
      <w:lvlText w:val="%9."/>
      <w:lvlJc w:val="left"/>
      <w:pPr>
        <w:tabs>
          <w:tab w:val="num" w:pos="6480"/>
        </w:tabs>
        <w:ind w:left="0" w:firstLine="5760"/>
      </w:pPr>
      <w:rPr>
        <w:rFonts w:ascii="Times New Roman" w:hAnsi="Times New Roman"/>
        <w:b w:val="0"/>
        <w:i w:val="0"/>
        <w:caps w:val="0"/>
        <w:color w:val="auto"/>
        <w:u w:val="none"/>
      </w:rPr>
    </w:lvl>
  </w:abstractNum>
  <w:abstractNum w:abstractNumId="9" w15:restartNumberingAfterBreak="0">
    <w:nsid w:val="5A3B5934"/>
    <w:multiLevelType w:val="multilevel"/>
    <w:tmpl w:val="AB7C571C"/>
    <w:lvl w:ilvl="0">
      <w:start w:val="1"/>
      <w:numFmt w:val="decimal"/>
      <w:lvlRestart w:val="0"/>
      <w:lvlText w:val="%1."/>
      <w:lvlJc w:val="left"/>
      <w:pPr>
        <w:tabs>
          <w:tab w:val="num" w:pos="720"/>
        </w:tabs>
        <w:ind w:left="0" w:firstLine="0"/>
      </w:pPr>
      <w:rPr>
        <w:rFonts w:ascii="Times New Roman" w:hAnsi="Times New Roman"/>
        <w:b w:val="0"/>
        <w:i w:val="0"/>
        <w:caps w:val="0"/>
        <w:color w:val="auto"/>
        <w:u w:val="none"/>
      </w:rPr>
    </w:lvl>
    <w:lvl w:ilvl="1">
      <w:start w:val="1"/>
      <w:numFmt w:val="lowerLetter"/>
      <w:lvlText w:val="(%2)"/>
      <w:lvlJc w:val="left"/>
      <w:pPr>
        <w:tabs>
          <w:tab w:val="num" w:pos="720"/>
        </w:tabs>
        <w:ind w:left="720" w:hanging="720"/>
      </w:pPr>
      <w:rPr>
        <w:rFonts w:ascii="Times New Roman" w:hAnsi="Times New Roman"/>
        <w:b w:val="0"/>
        <w:i w:val="0"/>
        <w:caps w:val="0"/>
        <w:color w:val="auto"/>
        <w:u w:val="none"/>
      </w:rPr>
    </w:lvl>
    <w:lvl w:ilvl="2">
      <w:start w:val="1"/>
      <w:numFmt w:val="lowerRoman"/>
      <w:lvlText w:val="(%3)"/>
      <w:lvlJc w:val="right"/>
      <w:pPr>
        <w:tabs>
          <w:tab w:val="num" w:pos="1440"/>
        </w:tabs>
        <w:ind w:left="1440" w:hanging="216"/>
      </w:pPr>
      <w:rPr>
        <w:rFonts w:ascii="Times New Roman" w:hAnsi="Times New Roman"/>
        <w:b w:val="0"/>
        <w:i w:val="0"/>
        <w:caps w:val="0"/>
        <w:color w:val="auto"/>
        <w:u w:val="none"/>
      </w:rPr>
    </w:lvl>
    <w:lvl w:ilvl="3">
      <w:start w:val="1"/>
      <w:numFmt w:val="upperLetter"/>
      <w:lvlText w:val="(%4)"/>
      <w:lvlJc w:val="left"/>
      <w:pPr>
        <w:tabs>
          <w:tab w:val="num" w:pos="2160"/>
        </w:tabs>
        <w:ind w:left="2160" w:hanging="720"/>
      </w:pPr>
      <w:rPr>
        <w:rFonts w:ascii="Times New Roman" w:hAnsi="Times New Roman"/>
        <w:b w:val="0"/>
        <w:i w:val="0"/>
        <w:caps w:val="0"/>
        <w:color w:val="auto"/>
        <w:u w:val="none"/>
      </w:rPr>
    </w:lvl>
    <w:lvl w:ilvl="4">
      <w:start w:val="1"/>
      <w:numFmt w:val="upperRoman"/>
      <w:lvlText w:val="(%5)"/>
      <w:lvlJc w:val="right"/>
      <w:pPr>
        <w:tabs>
          <w:tab w:val="num" w:pos="2880"/>
        </w:tabs>
        <w:ind w:left="2880" w:hanging="216"/>
      </w:pPr>
      <w:rPr>
        <w:rFonts w:ascii="Times New Roman" w:hAnsi="Times New Roman"/>
        <w:b w:val="0"/>
        <w:i w:val="0"/>
        <w:caps w:val="0"/>
        <w:color w:val="auto"/>
        <w:u w:val="none"/>
      </w:rPr>
    </w:lvl>
    <w:lvl w:ilvl="5">
      <w:start w:val="27"/>
      <w:numFmt w:val="lowerLetter"/>
      <w:lvlText w:val="(%6)"/>
      <w:lvlJc w:val="left"/>
      <w:pPr>
        <w:tabs>
          <w:tab w:val="num" w:pos="3600"/>
        </w:tabs>
        <w:ind w:left="3600" w:hanging="720"/>
      </w:pPr>
      <w:rPr>
        <w:rFonts w:ascii="Times New Roman" w:hAnsi="Times New Roman"/>
        <w:b w:val="0"/>
        <w:i w:val="0"/>
        <w:caps w:val="0"/>
        <w:color w:val="auto"/>
        <w:u w:val="none"/>
      </w:rPr>
    </w:lvl>
    <w:lvl w:ilvl="6">
      <w:start w:val="1"/>
      <w:numFmt w:val="decimal"/>
      <w:lvlText w:val="(%7)"/>
      <w:lvlJc w:val="left"/>
      <w:pPr>
        <w:tabs>
          <w:tab w:val="num" w:pos="4320"/>
        </w:tabs>
        <w:ind w:left="4320" w:hanging="720"/>
      </w:pPr>
      <w:rPr>
        <w:rFonts w:ascii="Times New Roman" w:hAnsi="Times New Roman"/>
        <w:b w:val="0"/>
        <w:i w:val="0"/>
        <w:caps w:val="0"/>
        <w:color w:val="auto"/>
        <w:u w:val="none"/>
      </w:rPr>
    </w:lvl>
    <w:lvl w:ilvl="7">
      <w:start w:val="1"/>
      <w:numFmt w:val="lowerRoman"/>
      <w:lvlText w:val="%8."/>
      <w:lvlJc w:val="left"/>
      <w:pPr>
        <w:tabs>
          <w:tab w:val="num" w:pos="5760"/>
        </w:tabs>
        <w:ind w:left="0" w:firstLine="5040"/>
      </w:pPr>
      <w:rPr>
        <w:rFonts w:ascii="Times New Roman" w:hAnsi="Times New Roman"/>
        <w:b w:val="0"/>
        <w:i w:val="0"/>
        <w:caps w:val="0"/>
        <w:color w:val="auto"/>
        <w:u w:val="none"/>
      </w:rPr>
    </w:lvl>
    <w:lvl w:ilvl="8">
      <w:start w:val="1"/>
      <w:numFmt w:val="decimal"/>
      <w:lvlText w:val="%9."/>
      <w:lvlJc w:val="left"/>
      <w:pPr>
        <w:tabs>
          <w:tab w:val="num" w:pos="6480"/>
        </w:tabs>
        <w:ind w:left="0" w:firstLine="5760"/>
      </w:pPr>
      <w:rPr>
        <w:rFonts w:ascii="Times New Roman" w:hAnsi="Times New Roman"/>
        <w:b w:val="0"/>
        <w:i w:val="0"/>
        <w:caps w:val="0"/>
        <w:color w:val="auto"/>
        <w:u w:val="none"/>
      </w:rPr>
    </w:lvl>
  </w:abstractNum>
  <w:abstractNum w:abstractNumId="10" w15:restartNumberingAfterBreak="0">
    <w:nsid w:val="5C446184"/>
    <w:multiLevelType w:val="hybridMultilevel"/>
    <w:tmpl w:val="A732C30A"/>
    <w:lvl w:ilvl="0" w:tplc="08090001">
      <w:start w:val="1"/>
      <w:numFmt w:val="bullet"/>
      <w:lvlText w:val=""/>
      <w:lvlJc w:val="left"/>
      <w:pPr>
        <w:tabs>
          <w:tab w:val="num" w:pos="1077"/>
        </w:tabs>
        <w:ind w:left="1077" w:hanging="360"/>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11" w15:restartNumberingAfterBreak="0">
    <w:nsid w:val="661803A2"/>
    <w:multiLevelType w:val="multilevel"/>
    <w:tmpl w:val="9A16A68E"/>
    <w:name w:val="zzmpFWB||FW Body Text|2|3|1|1|0|49||1|0|32||1|0|32||1|0|32||1|0|32||1|0|32||1|0|32||1|0|32||mpNA||"/>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12" w15:restartNumberingAfterBreak="0">
    <w:nsid w:val="6B5E4B43"/>
    <w:multiLevelType w:val="multilevel"/>
    <w:tmpl w:val="5E543E52"/>
    <w:lvl w:ilvl="0">
      <w:start w:val="1"/>
      <w:numFmt w:val="decimal"/>
      <w:lvlRestart w:val="0"/>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13" w15:restartNumberingAfterBreak="0">
    <w:nsid w:val="7B6F15B0"/>
    <w:multiLevelType w:val="multilevel"/>
    <w:tmpl w:val="BC0E06CE"/>
    <w:lvl w:ilvl="0">
      <w:start w:val="1"/>
      <w:numFmt w:val="decimal"/>
      <w:lvlRestart w:val="0"/>
      <w:suff w:val="nothing"/>
      <w:lvlText w:val="Schedule %1"/>
      <w:lvlJc w:val="left"/>
      <w:pPr>
        <w:tabs>
          <w:tab w:val="num" w:pos="0"/>
        </w:tabs>
        <w:ind w:left="0" w:firstLine="0"/>
      </w:pPr>
      <w:rPr>
        <w:rFonts w:ascii="Times New Roman" w:hAnsi="Times New Roman"/>
        <w:b/>
        <w:i w:val="0"/>
        <w:caps/>
        <w:smallCaps w:val="0"/>
        <w:color w:val="auto"/>
        <w:sz w:val="24"/>
        <w:u w:val="none"/>
      </w:rPr>
    </w:lvl>
    <w:lvl w:ilvl="1">
      <w:start w:val="1"/>
      <w:numFmt w:val="upperRoman"/>
      <w:suff w:val="space"/>
      <w:lvlText w:val="Part %2"/>
      <w:lvlJc w:val="left"/>
      <w:pPr>
        <w:tabs>
          <w:tab w:val="num" w:pos="0"/>
        </w:tabs>
        <w:ind w:left="0" w:firstLine="0"/>
      </w:pPr>
      <w:rPr>
        <w:rFonts w:ascii="Times New Roman" w:hAnsi="Times New Roman"/>
        <w:b/>
        <w:i w:val="0"/>
        <w:caps w:val="0"/>
        <w:color w:val="auto"/>
        <w:sz w:val="24"/>
        <w:u w:val="none"/>
      </w:rPr>
    </w:lvl>
    <w:lvl w:ilvl="2">
      <w:start w:val="1"/>
      <w:numFmt w:val="decimal"/>
      <w:lvlText w:val="%3."/>
      <w:lvlJc w:val="left"/>
      <w:pPr>
        <w:tabs>
          <w:tab w:val="num" w:pos="720"/>
        </w:tabs>
        <w:ind w:left="0" w:firstLine="0"/>
      </w:pPr>
      <w:rPr>
        <w:rFonts w:ascii="Times New Roman" w:hAnsi="Times New Roman"/>
        <w:b/>
        <w:i w:val="0"/>
        <w:caps w:val="0"/>
        <w:color w:val="auto"/>
        <w:sz w:val="24"/>
        <w:u w:val="none"/>
      </w:rPr>
    </w:lvl>
    <w:lvl w:ilvl="3">
      <w:start w:val="1"/>
      <w:numFmt w:val="decimal"/>
      <w:lvlText w:val="%4."/>
      <w:lvlJc w:val="left"/>
      <w:pPr>
        <w:tabs>
          <w:tab w:val="num" w:pos="720"/>
        </w:tabs>
        <w:ind w:left="0" w:firstLine="0"/>
      </w:pPr>
      <w:rPr>
        <w:rFonts w:ascii="Times New Roman" w:hAnsi="Times New Roman"/>
        <w:b w:val="0"/>
        <w:i w:val="0"/>
        <w:caps w:val="0"/>
        <w:color w:val="auto"/>
        <w:sz w:val="24"/>
        <w:u w:val="none"/>
      </w:rPr>
    </w:lvl>
    <w:lvl w:ilvl="4">
      <w:start w:val="1"/>
      <w:numFmt w:val="decimal"/>
      <w:lvlText w:val="%3.%5"/>
      <w:lvlJc w:val="left"/>
      <w:pPr>
        <w:tabs>
          <w:tab w:val="num" w:pos="720"/>
        </w:tabs>
        <w:ind w:left="0" w:firstLine="0"/>
      </w:pPr>
      <w:rPr>
        <w:rFonts w:ascii="Times New Roman" w:hAnsi="Times New Roman"/>
        <w:b w:val="0"/>
        <w:i w:val="0"/>
        <w:caps w:val="0"/>
        <w:color w:val="auto"/>
        <w:sz w:val="24"/>
        <w:u w:val="none"/>
      </w:rPr>
    </w:lvl>
    <w:lvl w:ilvl="5">
      <w:start w:val="1"/>
      <w:numFmt w:val="lowerLetter"/>
      <w:lvlText w:val="(%6)"/>
      <w:lvlJc w:val="left"/>
      <w:pPr>
        <w:tabs>
          <w:tab w:val="num" w:pos="720"/>
        </w:tabs>
        <w:ind w:left="720" w:hanging="720"/>
      </w:pPr>
      <w:rPr>
        <w:rFonts w:ascii="Times New Roman" w:hAnsi="Times New Roman"/>
        <w:b w:val="0"/>
        <w:i w:val="0"/>
        <w:caps w:val="0"/>
        <w:color w:val="auto"/>
        <w:sz w:val="24"/>
        <w:u w:val="none"/>
      </w:rPr>
    </w:lvl>
    <w:lvl w:ilvl="6">
      <w:start w:val="1"/>
      <w:numFmt w:val="lowerRoman"/>
      <w:lvlText w:val="(%7)"/>
      <w:lvlJc w:val="right"/>
      <w:pPr>
        <w:tabs>
          <w:tab w:val="num" w:pos="1440"/>
        </w:tabs>
        <w:ind w:left="1440" w:hanging="216"/>
      </w:pPr>
      <w:rPr>
        <w:rFonts w:ascii="Times New Roman" w:hAnsi="Times New Roman"/>
        <w:b w:val="0"/>
        <w:i w:val="0"/>
        <w:caps w:val="0"/>
        <w:color w:val="auto"/>
        <w:sz w:val="24"/>
        <w:u w:val="none"/>
      </w:rPr>
    </w:lvl>
    <w:lvl w:ilvl="7">
      <w:start w:val="1"/>
      <w:numFmt w:val="upperLetter"/>
      <w:lvlText w:val="(%8)"/>
      <w:lvlJc w:val="left"/>
      <w:pPr>
        <w:tabs>
          <w:tab w:val="num" w:pos="2160"/>
        </w:tabs>
        <w:ind w:left="2160" w:hanging="720"/>
      </w:pPr>
      <w:rPr>
        <w:rFonts w:ascii="Times New Roman" w:hAnsi="Times New Roman"/>
        <w:b w:val="0"/>
        <w:i w:val="0"/>
        <w:caps w:val="0"/>
        <w:color w:val="auto"/>
        <w:sz w:val="24"/>
        <w:u w:val="none"/>
      </w:rPr>
    </w:lvl>
    <w:lvl w:ilvl="8">
      <w:start w:val="1"/>
      <w:numFmt w:val="upperRoman"/>
      <w:lvlText w:val="(%9)"/>
      <w:lvlJc w:val="right"/>
      <w:pPr>
        <w:tabs>
          <w:tab w:val="num" w:pos="2880"/>
        </w:tabs>
        <w:ind w:left="2880" w:hanging="216"/>
      </w:pPr>
      <w:rPr>
        <w:rFonts w:ascii="Times New Roman" w:hAnsi="Times New Roman"/>
        <w:b w:val="0"/>
        <w:i w:val="0"/>
        <w:caps w:val="0"/>
        <w:color w:val="auto"/>
        <w:sz w:val="24"/>
        <w:u w:val="none"/>
      </w:rPr>
    </w:lvl>
  </w:abstractNum>
  <w:abstractNum w:abstractNumId="14"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4"/>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4"/>
  </w:num>
  <w:num w:numId="12">
    <w:abstractNumId w:val="3"/>
  </w:num>
  <w:num w:numId="13">
    <w:abstractNumId w:val="2"/>
  </w:num>
  <w:num w:numId="14">
    <w:abstractNumId w:val="1"/>
  </w:num>
  <w:num w:numId="15">
    <w:abstractNumId w:val="0"/>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8"/>
  </w:num>
  <w:num w:numId="25">
    <w:abstractNumId w:val="13"/>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0">
    <w:abstractNumId w:val="9"/>
  </w:num>
  <w:num w:numId="31">
    <w:abstractNumId w:val="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10"/>
  </w:num>
  <w:num w:numId="48">
    <w:abstractNumId w:val="7"/>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hClass" w:val="Fee Earner"/>
    <w:docVar w:name="authCorresp" w:val="Tom Cochran"/>
    <w:docVar w:name="authEmail" w:val="thomas.cochran@freshfields.com"/>
    <w:docVar w:name="authExtension" w:val="3642"/>
    <w:docVar w:name="authFax" w:val="44 20 7108 3642"/>
    <w:docVar w:name="authId" w:val="TXCOCHRAN"/>
    <w:docVar w:name="authInitials" w:val="TWC"/>
    <w:docVar w:name="authLocation" w:val="London"/>
    <w:docVar w:name="authName" w:val="Cochran, Tom"/>
    <w:docVar w:name="authPhone" w:val="44 20 7427 3642"/>
    <w:docVar w:name="CorruptionNotice" w:val="16/12/2010"/>
    <w:docVar w:name="docClass" w:val="-NONE-"/>
    <w:docVar w:name="docClient" w:val="006940"/>
    <w:docVar w:name="docCliMat" w:val="006940-1040"/>
    <w:docVar w:name="docDesc" w:val="Pro Forma Scots Law Opinion for DWF Loan Portfolio Transactions"/>
    <w:docVar w:name="docGroup" w:val="document"/>
    <w:docVar w:name="docId" w:val="LON14296888"/>
    <w:docVar w:name="docIdVer" w:val="LON14296888/7"/>
    <w:docVar w:name="docLangId" w:val="2057"/>
    <w:docVar w:name="docMatter" w:val="1040"/>
    <w:docVar w:name="docTemplate" w:val="document_english_portrait_a4.xml"/>
    <w:docVar w:name="docType" w:val="New Document"/>
    <w:docVar w:name="docVersion" w:val="7"/>
    <w:docVar w:name="MCG_Brand" w:val="D1"/>
    <w:docVar w:name="operClass" w:val="Fee Earner"/>
    <w:docVar w:name="operCorresp" w:val="Daniel Weiner"/>
    <w:docVar w:name="operEmail" w:val="daniel.weiner@freshfields.com"/>
    <w:docVar w:name="operExtension" w:val="3129"/>
    <w:docVar w:name="operFax" w:val="44 20 7108 3129"/>
    <w:docVar w:name="operId" w:val="DWEINER"/>
    <w:docVar w:name="operInitials" w:val="DW"/>
    <w:docVar w:name="operLocation" w:val="London"/>
    <w:docVar w:name="operName" w:val="Weiner, Daniel"/>
    <w:docVar w:name="operPhone" w:val="+4 4  20 7 427 3129"/>
    <w:docVar w:name="PIM_Brand" w:val="D9"/>
    <w:docVar w:name="zzmpFixedCurScheme" w:val="FWB"/>
    <w:docVar w:name="zzmpFixedCurScheme_9.0" w:val="1zzmpFWB"/>
    <w:docVar w:name="zzmpFWB" w:val="||FW Body Text|2|3|1|1|0|49||1|0|32||1|0|32||1|0|32||1|0|32||1|0|32||1|0|32||1|0|32||mpNA||"/>
    <w:docVar w:name="zzmpFWS" w:val="||FW Schedules|2|3|1|4|0|41||2|0|33||1|0|49||1|0|32||1|0|32||1|0|32||1|0|32||1|0|32||1|0|32||"/>
    <w:docVar w:name="zzmpLTFontsClean" w:val="True"/>
    <w:docVar w:name="zzmpnSession" w:val="0.8804285"/>
  </w:docVars>
  <w:rsids>
    <w:rsidRoot w:val="0016367C"/>
    <w:rsid w:val="00007CB2"/>
    <w:rsid w:val="00025BAE"/>
    <w:rsid w:val="000425F7"/>
    <w:rsid w:val="00063C90"/>
    <w:rsid w:val="000653B6"/>
    <w:rsid w:val="00065888"/>
    <w:rsid w:val="000670FC"/>
    <w:rsid w:val="00073107"/>
    <w:rsid w:val="0007357F"/>
    <w:rsid w:val="00074463"/>
    <w:rsid w:val="000875A3"/>
    <w:rsid w:val="000B79F7"/>
    <w:rsid w:val="000B7A45"/>
    <w:rsid w:val="000C395D"/>
    <w:rsid w:val="000D1848"/>
    <w:rsid w:val="000D7B15"/>
    <w:rsid w:val="000E0063"/>
    <w:rsid w:val="000E3220"/>
    <w:rsid w:val="000E43F3"/>
    <w:rsid w:val="000F7EBC"/>
    <w:rsid w:val="00125EF2"/>
    <w:rsid w:val="001323CD"/>
    <w:rsid w:val="00133BDD"/>
    <w:rsid w:val="00137326"/>
    <w:rsid w:val="00144818"/>
    <w:rsid w:val="00146827"/>
    <w:rsid w:val="00152F39"/>
    <w:rsid w:val="00157B21"/>
    <w:rsid w:val="0016367C"/>
    <w:rsid w:val="001734EE"/>
    <w:rsid w:val="00174F0A"/>
    <w:rsid w:val="00175C81"/>
    <w:rsid w:val="00176F50"/>
    <w:rsid w:val="00194085"/>
    <w:rsid w:val="001A3573"/>
    <w:rsid w:val="001A7192"/>
    <w:rsid w:val="001B28D7"/>
    <w:rsid w:val="001B5181"/>
    <w:rsid w:val="001C1B69"/>
    <w:rsid w:val="001C4704"/>
    <w:rsid w:val="001D2826"/>
    <w:rsid w:val="001E2F2B"/>
    <w:rsid w:val="001E7B67"/>
    <w:rsid w:val="001F4CF9"/>
    <w:rsid w:val="00200F9E"/>
    <w:rsid w:val="0022276E"/>
    <w:rsid w:val="0023415B"/>
    <w:rsid w:val="002374BF"/>
    <w:rsid w:val="00244B28"/>
    <w:rsid w:val="00253F0F"/>
    <w:rsid w:val="002619D1"/>
    <w:rsid w:val="002643FE"/>
    <w:rsid w:val="00265AA5"/>
    <w:rsid w:val="00277F45"/>
    <w:rsid w:val="002857C4"/>
    <w:rsid w:val="00294958"/>
    <w:rsid w:val="002959CA"/>
    <w:rsid w:val="002A2730"/>
    <w:rsid w:val="002D1087"/>
    <w:rsid w:val="002D76F5"/>
    <w:rsid w:val="002E1B50"/>
    <w:rsid w:val="00301425"/>
    <w:rsid w:val="00310DCB"/>
    <w:rsid w:val="00312EEC"/>
    <w:rsid w:val="00313A98"/>
    <w:rsid w:val="003146F3"/>
    <w:rsid w:val="00322714"/>
    <w:rsid w:val="0032427E"/>
    <w:rsid w:val="003423A7"/>
    <w:rsid w:val="003443BC"/>
    <w:rsid w:val="00351737"/>
    <w:rsid w:val="00367011"/>
    <w:rsid w:val="00377DCF"/>
    <w:rsid w:val="0038740E"/>
    <w:rsid w:val="003A08F9"/>
    <w:rsid w:val="003A3113"/>
    <w:rsid w:val="003A4FC0"/>
    <w:rsid w:val="003A666F"/>
    <w:rsid w:val="003C4475"/>
    <w:rsid w:val="003C4DB5"/>
    <w:rsid w:val="003F3103"/>
    <w:rsid w:val="00406AFB"/>
    <w:rsid w:val="00431556"/>
    <w:rsid w:val="0045426B"/>
    <w:rsid w:val="00473967"/>
    <w:rsid w:val="00476CCE"/>
    <w:rsid w:val="00490F50"/>
    <w:rsid w:val="004B70F6"/>
    <w:rsid w:val="004C237F"/>
    <w:rsid w:val="004C643A"/>
    <w:rsid w:val="004C71B4"/>
    <w:rsid w:val="004D7D22"/>
    <w:rsid w:val="004E2FA7"/>
    <w:rsid w:val="004E6E6C"/>
    <w:rsid w:val="004F11DB"/>
    <w:rsid w:val="005127D4"/>
    <w:rsid w:val="005202E2"/>
    <w:rsid w:val="00526F40"/>
    <w:rsid w:val="00527C40"/>
    <w:rsid w:val="0053545C"/>
    <w:rsid w:val="00550964"/>
    <w:rsid w:val="00554C61"/>
    <w:rsid w:val="00555DC5"/>
    <w:rsid w:val="005702A7"/>
    <w:rsid w:val="005720C0"/>
    <w:rsid w:val="0057641E"/>
    <w:rsid w:val="005770DB"/>
    <w:rsid w:val="005B1D05"/>
    <w:rsid w:val="005B49E0"/>
    <w:rsid w:val="005B6085"/>
    <w:rsid w:val="005D05EA"/>
    <w:rsid w:val="005E2378"/>
    <w:rsid w:val="005F3A7E"/>
    <w:rsid w:val="006000F8"/>
    <w:rsid w:val="0060146D"/>
    <w:rsid w:val="00602AD8"/>
    <w:rsid w:val="006102A3"/>
    <w:rsid w:val="00626D11"/>
    <w:rsid w:val="006322F9"/>
    <w:rsid w:val="00637240"/>
    <w:rsid w:val="00637C9D"/>
    <w:rsid w:val="00647294"/>
    <w:rsid w:val="0065156D"/>
    <w:rsid w:val="006522E8"/>
    <w:rsid w:val="0066373A"/>
    <w:rsid w:val="00666CA4"/>
    <w:rsid w:val="00667B9F"/>
    <w:rsid w:val="00673FAA"/>
    <w:rsid w:val="00677D9F"/>
    <w:rsid w:val="006901EA"/>
    <w:rsid w:val="00691FE8"/>
    <w:rsid w:val="00692377"/>
    <w:rsid w:val="00693C40"/>
    <w:rsid w:val="00697B8F"/>
    <w:rsid w:val="006B3C6D"/>
    <w:rsid w:val="006C2BC4"/>
    <w:rsid w:val="006D7096"/>
    <w:rsid w:val="006E1065"/>
    <w:rsid w:val="006E6CA5"/>
    <w:rsid w:val="006F21FA"/>
    <w:rsid w:val="0070428E"/>
    <w:rsid w:val="00711C40"/>
    <w:rsid w:val="00712A4F"/>
    <w:rsid w:val="00722CF8"/>
    <w:rsid w:val="00723F2C"/>
    <w:rsid w:val="00725179"/>
    <w:rsid w:val="007372DA"/>
    <w:rsid w:val="00750852"/>
    <w:rsid w:val="007633C2"/>
    <w:rsid w:val="00765940"/>
    <w:rsid w:val="00771852"/>
    <w:rsid w:val="00773CDF"/>
    <w:rsid w:val="00776272"/>
    <w:rsid w:val="007952BE"/>
    <w:rsid w:val="007A7145"/>
    <w:rsid w:val="007C51AB"/>
    <w:rsid w:val="007C5BBA"/>
    <w:rsid w:val="007D1A70"/>
    <w:rsid w:val="007E01C4"/>
    <w:rsid w:val="007F7C59"/>
    <w:rsid w:val="00800E20"/>
    <w:rsid w:val="0082214D"/>
    <w:rsid w:val="00824054"/>
    <w:rsid w:val="00833BBC"/>
    <w:rsid w:val="008347A3"/>
    <w:rsid w:val="00834CAA"/>
    <w:rsid w:val="00852A6B"/>
    <w:rsid w:val="00857703"/>
    <w:rsid w:val="00863D29"/>
    <w:rsid w:val="00874DBA"/>
    <w:rsid w:val="00876288"/>
    <w:rsid w:val="00891CB6"/>
    <w:rsid w:val="008941D4"/>
    <w:rsid w:val="0089727D"/>
    <w:rsid w:val="008A5C7B"/>
    <w:rsid w:val="008A665F"/>
    <w:rsid w:val="008B4F12"/>
    <w:rsid w:val="008B69B4"/>
    <w:rsid w:val="008D2E50"/>
    <w:rsid w:val="008E2E8F"/>
    <w:rsid w:val="008E62BF"/>
    <w:rsid w:val="0090020D"/>
    <w:rsid w:val="0091637F"/>
    <w:rsid w:val="009224FA"/>
    <w:rsid w:val="00922944"/>
    <w:rsid w:val="00942329"/>
    <w:rsid w:val="00944792"/>
    <w:rsid w:val="00946074"/>
    <w:rsid w:val="009511DA"/>
    <w:rsid w:val="00956554"/>
    <w:rsid w:val="0095674D"/>
    <w:rsid w:val="009616AC"/>
    <w:rsid w:val="00972886"/>
    <w:rsid w:val="00981628"/>
    <w:rsid w:val="0098214E"/>
    <w:rsid w:val="00982ACF"/>
    <w:rsid w:val="00982FF5"/>
    <w:rsid w:val="00985382"/>
    <w:rsid w:val="0099745E"/>
    <w:rsid w:val="009A1745"/>
    <w:rsid w:val="009A288A"/>
    <w:rsid w:val="009B0C3E"/>
    <w:rsid w:val="009C48FA"/>
    <w:rsid w:val="009E411C"/>
    <w:rsid w:val="009F3CD1"/>
    <w:rsid w:val="00A013BA"/>
    <w:rsid w:val="00A0447D"/>
    <w:rsid w:val="00A06DE2"/>
    <w:rsid w:val="00A23239"/>
    <w:rsid w:val="00A26D07"/>
    <w:rsid w:val="00A41AD9"/>
    <w:rsid w:val="00A50D57"/>
    <w:rsid w:val="00A53AD1"/>
    <w:rsid w:val="00A65E54"/>
    <w:rsid w:val="00A773A3"/>
    <w:rsid w:val="00A81F3E"/>
    <w:rsid w:val="00A863BD"/>
    <w:rsid w:val="00A90D51"/>
    <w:rsid w:val="00AB4CEE"/>
    <w:rsid w:val="00AC3374"/>
    <w:rsid w:val="00AC5A25"/>
    <w:rsid w:val="00AD6A11"/>
    <w:rsid w:val="00AD7649"/>
    <w:rsid w:val="00AE0F4E"/>
    <w:rsid w:val="00AE764E"/>
    <w:rsid w:val="00AF74CA"/>
    <w:rsid w:val="00B07802"/>
    <w:rsid w:val="00B10731"/>
    <w:rsid w:val="00B1337A"/>
    <w:rsid w:val="00B200A9"/>
    <w:rsid w:val="00B4671F"/>
    <w:rsid w:val="00B47375"/>
    <w:rsid w:val="00B47829"/>
    <w:rsid w:val="00B525D0"/>
    <w:rsid w:val="00B57D48"/>
    <w:rsid w:val="00B67FE9"/>
    <w:rsid w:val="00B845C4"/>
    <w:rsid w:val="00B85CF3"/>
    <w:rsid w:val="00B97D8D"/>
    <w:rsid w:val="00BA37F7"/>
    <w:rsid w:val="00BC0B7F"/>
    <w:rsid w:val="00BC36FD"/>
    <w:rsid w:val="00BD3A19"/>
    <w:rsid w:val="00BD7454"/>
    <w:rsid w:val="00C0386A"/>
    <w:rsid w:val="00C06D09"/>
    <w:rsid w:val="00C07A92"/>
    <w:rsid w:val="00C11E2A"/>
    <w:rsid w:val="00C16E04"/>
    <w:rsid w:val="00C205CB"/>
    <w:rsid w:val="00C224C2"/>
    <w:rsid w:val="00C24055"/>
    <w:rsid w:val="00C3038F"/>
    <w:rsid w:val="00C346E7"/>
    <w:rsid w:val="00C50C7C"/>
    <w:rsid w:val="00C533C8"/>
    <w:rsid w:val="00C54CCF"/>
    <w:rsid w:val="00C66BA1"/>
    <w:rsid w:val="00C70231"/>
    <w:rsid w:val="00C70648"/>
    <w:rsid w:val="00C7169A"/>
    <w:rsid w:val="00C836E3"/>
    <w:rsid w:val="00C9192A"/>
    <w:rsid w:val="00C96787"/>
    <w:rsid w:val="00CA13EF"/>
    <w:rsid w:val="00CA2A41"/>
    <w:rsid w:val="00CA37EA"/>
    <w:rsid w:val="00CB4E2D"/>
    <w:rsid w:val="00CD14A3"/>
    <w:rsid w:val="00CD46B8"/>
    <w:rsid w:val="00CE06A4"/>
    <w:rsid w:val="00CE3911"/>
    <w:rsid w:val="00CF0336"/>
    <w:rsid w:val="00CF0522"/>
    <w:rsid w:val="00CF19CB"/>
    <w:rsid w:val="00CF1BDF"/>
    <w:rsid w:val="00CF72A5"/>
    <w:rsid w:val="00D0580F"/>
    <w:rsid w:val="00D26799"/>
    <w:rsid w:val="00D346DE"/>
    <w:rsid w:val="00D347E9"/>
    <w:rsid w:val="00D47B11"/>
    <w:rsid w:val="00D64CC3"/>
    <w:rsid w:val="00D702E0"/>
    <w:rsid w:val="00D84EAF"/>
    <w:rsid w:val="00D87FCA"/>
    <w:rsid w:val="00D9017E"/>
    <w:rsid w:val="00D93909"/>
    <w:rsid w:val="00D9527D"/>
    <w:rsid w:val="00D96F2D"/>
    <w:rsid w:val="00DA104A"/>
    <w:rsid w:val="00DB18CC"/>
    <w:rsid w:val="00DB5D39"/>
    <w:rsid w:val="00DC20EB"/>
    <w:rsid w:val="00DC6731"/>
    <w:rsid w:val="00DD15CD"/>
    <w:rsid w:val="00DD2754"/>
    <w:rsid w:val="00DE0E8B"/>
    <w:rsid w:val="00DF0937"/>
    <w:rsid w:val="00E01F2A"/>
    <w:rsid w:val="00E02B28"/>
    <w:rsid w:val="00E142E5"/>
    <w:rsid w:val="00E17FFE"/>
    <w:rsid w:val="00E33721"/>
    <w:rsid w:val="00E376A9"/>
    <w:rsid w:val="00E4154B"/>
    <w:rsid w:val="00E53EED"/>
    <w:rsid w:val="00E54CBA"/>
    <w:rsid w:val="00E777DA"/>
    <w:rsid w:val="00E82509"/>
    <w:rsid w:val="00EA71E3"/>
    <w:rsid w:val="00EA7BE4"/>
    <w:rsid w:val="00EB71EA"/>
    <w:rsid w:val="00EC377E"/>
    <w:rsid w:val="00EC74E9"/>
    <w:rsid w:val="00EC778A"/>
    <w:rsid w:val="00EE2707"/>
    <w:rsid w:val="00EF0452"/>
    <w:rsid w:val="00EF2CDD"/>
    <w:rsid w:val="00F0611F"/>
    <w:rsid w:val="00F15248"/>
    <w:rsid w:val="00F16180"/>
    <w:rsid w:val="00F169DF"/>
    <w:rsid w:val="00F37795"/>
    <w:rsid w:val="00F40189"/>
    <w:rsid w:val="00F465B7"/>
    <w:rsid w:val="00F76040"/>
    <w:rsid w:val="00F82E6B"/>
    <w:rsid w:val="00FA0276"/>
    <w:rsid w:val="00FA104A"/>
    <w:rsid w:val="00FA1EBD"/>
    <w:rsid w:val="00FA415A"/>
    <w:rsid w:val="00FB48DC"/>
    <w:rsid w:val="00FD5D40"/>
    <w:rsid w:val="00FE0F1D"/>
    <w:rsid w:val="00FE3E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32AA40E1"/>
  <w15:docId w15:val="{82FD8873-CCAC-4784-9B35-D267EF8EF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BodyText"/>
    <w:next w:val="BodyText"/>
    <w:qFormat/>
    <w:pPr>
      <w:keepNext/>
      <w:keepLines/>
      <w:jc w:val="left"/>
      <w:outlineLvl w:val="0"/>
    </w:pPr>
    <w:rPr>
      <w:b/>
      <w:caps/>
    </w:rPr>
  </w:style>
  <w:style w:type="paragraph" w:styleId="Heading2">
    <w:name w:val="heading 2"/>
    <w:basedOn w:val="BodyText"/>
    <w:next w:val="BodyText"/>
    <w:qFormat/>
    <w:pPr>
      <w:keepNext/>
      <w:keepLines/>
      <w:jc w:val="left"/>
      <w:outlineLvl w:val="1"/>
    </w:pPr>
    <w:rPr>
      <w:b/>
      <w:smallCaps/>
    </w:rPr>
  </w:style>
  <w:style w:type="paragraph" w:styleId="Heading3">
    <w:name w:val="heading 3"/>
    <w:basedOn w:val="BodyText"/>
    <w:next w:val="BodyText"/>
    <w:qFormat/>
    <w:pPr>
      <w:keepNext/>
      <w:keepLines/>
      <w:jc w:val="left"/>
      <w:outlineLvl w:val="2"/>
    </w:pPr>
    <w:rPr>
      <w:b/>
    </w:rPr>
  </w:style>
  <w:style w:type="paragraph" w:styleId="Heading4">
    <w:name w:val="heading 4"/>
    <w:basedOn w:val="Heading3"/>
    <w:next w:val="BodyText"/>
    <w:qFormat/>
    <w:pPr>
      <w:outlineLvl w:val="3"/>
    </w:pPr>
  </w:style>
  <w:style w:type="paragraph" w:styleId="Heading5">
    <w:name w:val="heading 5"/>
    <w:basedOn w:val="BodyText"/>
    <w:next w:val="BodyText"/>
    <w:qFormat/>
    <w:pPr>
      <w:keepNext/>
      <w:keepLines/>
      <w:jc w:val="center"/>
      <w:outlineLvl w:val="4"/>
    </w:pPr>
    <w:rPr>
      <w:b/>
      <w:caps/>
    </w:rPr>
  </w:style>
  <w:style w:type="paragraph" w:styleId="Heading6">
    <w:name w:val="heading 6"/>
    <w:basedOn w:val="BodyText"/>
    <w:next w:val="BodyText"/>
    <w:qFormat/>
    <w:pPr>
      <w:keepNext/>
      <w:jc w:val="center"/>
      <w:outlineLvl w:val="5"/>
    </w:pPr>
    <w:rPr>
      <w:b/>
    </w:rPr>
  </w:style>
  <w:style w:type="paragraph" w:styleId="Heading7">
    <w:name w:val="heading 7"/>
    <w:basedOn w:val="BodyText"/>
    <w:next w:val="BodyText"/>
    <w:qFormat/>
    <w:pPr>
      <w:keepNext/>
      <w:keepLines/>
      <w:outlineLvl w:val="6"/>
    </w:pPr>
  </w:style>
  <w:style w:type="paragraph" w:styleId="Heading8">
    <w:name w:val="heading 8"/>
    <w:basedOn w:val="BodyText"/>
    <w:next w:val="BodyText"/>
    <w:qFormat/>
    <w:pPr>
      <w:jc w:val="left"/>
      <w:outlineLvl w:val="7"/>
    </w:pPr>
  </w:style>
  <w:style w:type="paragraph" w:styleId="Heading9">
    <w:name w:val="heading 9"/>
    <w:basedOn w:val="BodyText"/>
    <w:next w:val="Normal"/>
    <w:qFormat/>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jc w:val="both"/>
    </w:pPr>
  </w:style>
  <w:style w:type="paragraph" w:styleId="Header">
    <w:name w:val="header"/>
    <w:basedOn w:val="BodyText"/>
    <w:pPr>
      <w:tabs>
        <w:tab w:val="right" w:pos="8280"/>
      </w:tabs>
      <w:spacing w:after="0"/>
      <w:jc w:val="right"/>
    </w:pPr>
    <w:rPr>
      <w:sz w:val="16"/>
    </w:rPr>
  </w:style>
  <w:style w:type="paragraph" w:styleId="Footer">
    <w:name w:val="footer"/>
    <w:basedOn w:val="BodyText"/>
    <w:pPr>
      <w:tabs>
        <w:tab w:val="right" w:pos="8280"/>
      </w:tabs>
      <w:spacing w:after="0"/>
    </w:pPr>
    <w:rPr>
      <w:sz w:val="16"/>
    </w:rPr>
  </w:style>
  <w:style w:type="character" w:styleId="PageNumber">
    <w:name w:val="page number"/>
    <w:rPr>
      <w:rFonts w:ascii="Times New Roman" w:hAnsi="Times New Roman"/>
      <w:sz w:val="16"/>
    </w:rPr>
  </w:style>
  <w:style w:type="paragraph" w:customStyle="1" w:styleId="a">
    <w:name w:val="(a)"/>
    <w:basedOn w:val="BodyText"/>
    <w:pPr>
      <w:ind w:left="720" w:hanging="720"/>
    </w:pPr>
  </w:style>
  <w:style w:type="paragraph" w:styleId="TOAHeading">
    <w:name w:val="toa heading"/>
    <w:basedOn w:val="Normal"/>
    <w:next w:val="Normal"/>
    <w:pPr>
      <w:spacing w:before="120"/>
    </w:pPr>
    <w:rPr>
      <w:rFonts w:ascii="Arial" w:hAnsi="Arial" w:cs="Arial"/>
      <w:b/>
      <w:bCs/>
    </w:rPr>
  </w:style>
  <w:style w:type="paragraph" w:customStyle="1" w:styleId="i">
    <w:name w:val="(i)"/>
    <w:basedOn w:val="BodyText"/>
    <w:pPr>
      <w:tabs>
        <w:tab w:val="right" w:pos="1296"/>
      </w:tabs>
      <w:ind w:left="1440" w:hanging="1440"/>
    </w:pPr>
  </w:style>
  <w:style w:type="paragraph" w:customStyle="1" w:styleId="A0">
    <w:name w:val="A"/>
    <w:basedOn w:val="BodyText"/>
    <w:pPr>
      <w:ind w:left="1872" w:hanging="432"/>
    </w:pPr>
  </w:style>
  <w:style w:type="paragraph" w:customStyle="1" w:styleId="Address">
    <w:name w:val="Address"/>
    <w:basedOn w:val="BodyText"/>
    <w:pPr>
      <w:spacing w:after="720" w:line="280" w:lineRule="exact"/>
    </w:pPr>
    <w:rPr>
      <w:noProof/>
    </w:rPr>
  </w:style>
  <w:style w:type="character" w:customStyle="1" w:styleId="FsHidden">
    <w:name w:val="FsHidden"/>
    <w:rPr>
      <w:vanish/>
      <w:color w:val="FFFF00"/>
    </w:rPr>
  </w:style>
  <w:style w:type="paragraph" w:customStyle="1" w:styleId="FsTable">
    <w:name w:val="FsTable"/>
    <w:basedOn w:val="BodyText"/>
    <w:pPr>
      <w:spacing w:before="120" w:after="120"/>
      <w:jc w:val="left"/>
    </w:pPr>
  </w:style>
  <w:style w:type="paragraph" w:customStyle="1" w:styleId="FsTableHeading">
    <w:name w:val="FsTableHeading"/>
    <w:basedOn w:val="BodyText"/>
    <w:next w:val="FsTable"/>
    <w:pPr>
      <w:keepNext/>
      <w:keepLines/>
      <w:spacing w:before="120" w:after="120"/>
      <w:jc w:val="left"/>
    </w:pPr>
    <w:rPr>
      <w:b/>
    </w:rPr>
  </w:style>
  <w:style w:type="paragraph" w:customStyle="1" w:styleId="FWParties">
    <w:name w:val="FWParties"/>
    <w:basedOn w:val="BodyText"/>
    <w:pPr>
      <w:numPr>
        <w:numId w:val="1"/>
      </w:numPr>
    </w:pPr>
  </w:style>
  <w:style w:type="paragraph" w:customStyle="1" w:styleId="FWRecital">
    <w:name w:val="FWRecital"/>
    <w:basedOn w:val="BodyText"/>
    <w:pPr>
      <w:numPr>
        <w:numId w:val="2"/>
      </w:numPr>
      <w:tabs>
        <w:tab w:val="clear" w:pos="360"/>
        <w:tab w:val="left" w:pos="720"/>
      </w:tabs>
    </w:pPr>
  </w:style>
  <w:style w:type="paragraph" w:styleId="Index1">
    <w:name w:val="index 1"/>
    <w:basedOn w:val="Normal"/>
    <w:next w:val="Normal"/>
    <w:pPr>
      <w:ind w:left="240" w:hanging="240"/>
    </w:pPr>
  </w:style>
  <w:style w:type="paragraph" w:styleId="IndexHeading">
    <w:name w:val="index heading"/>
    <w:basedOn w:val="Normal"/>
    <w:next w:val="Index1"/>
    <w:pPr>
      <w:spacing w:after="480"/>
      <w:jc w:val="center"/>
    </w:pPr>
    <w:rPr>
      <w:b/>
      <w:caps/>
    </w:rPr>
  </w:style>
  <w:style w:type="paragraph" w:customStyle="1" w:styleId="IndexHeading2">
    <w:name w:val="Index Heading 2"/>
    <w:basedOn w:val="IndexHeading"/>
    <w:pPr>
      <w:tabs>
        <w:tab w:val="right" w:pos="8280"/>
      </w:tabs>
      <w:jc w:val="left"/>
    </w:pPr>
  </w:style>
  <w:style w:type="paragraph" w:customStyle="1" w:styleId="MarginalNote">
    <w:name w:val="Marginal Note"/>
    <w:basedOn w:val="BodyText"/>
    <w:next w:val="BodyText"/>
    <w:pPr>
      <w:keepNext/>
      <w:keepLines/>
      <w:framePr w:w="1152" w:hSpace="144" w:wrap="around" w:vAnchor="text" w:hAnchor="page" w:y="1"/>
      <w:spacing w:before="40" w:line="180" w:lineRule="exact"/>
    </w:pPr>
    <w:rPr>
      <w:b/>
      <w:sz w:val="16"/>
    </w:rPr>
  </w:style>
  <w:style w:type="paragraph" w:styleId="Salutation">
    <w:name w:val="Salutation"/>
    <w:basedOn w:val="BodyText"/>
    <w:next w:val="Normal"/>
  </w:style>
  <w:style w:type="paragraph" w:customStyle="1" w:styleId="Sealing">
    <w:name w:val="Sealing"/>
    <w:basedOn w:val="BodyText"/>
    <w:pPr>
      <w:keepLines/>
      <w:tabs>
        <w:tab w:val="left" w:pos="1728"/>
        <w:tab w:val="left" w:pos="4320"/>
      </w:tabs>
      <w:spacing w:after="480"/>
    </w:pPr>
  </w:style>
  <w:style w:type="paragraph" w:styleId="TOC1">
    <w:name w:val="toc 1"/>
    <w:basedOn w:val="BodyText"/>
    <w:next w:val="BodyText"/>
    <w:pPr>
      <w:keepLines/>
      <w:tabs>
        <w:tab w:val="right" w:leader="dot" w:pos="8309"/>
      </w:tabs>
      <w:spacing w:before="120" w:after="0"/>
      <w:ind w:left="720" w:right="720" w:hanging="720"/>
      <w:jc w:val="left"/>
    </w:pPr>
    <w:rPr>
      <w:caps/>
    </w:rPr>
  </w:style>
  <w:style w:type="paragraph" w:styleId="TOC2">
    <w:name w:val="toc 2"/>
    <w:basedOn w:val="BodyText"/>
    <w:next w:val="BodyText"/>
    <w:pPr>
      <w:tabs>
        <w:tab w:val="left" w:pos="357"/>
        <w:tab w:val="left" w:pos="720"/>
        <w:tab w:val="right" w:leader="dot" w:pos="8307"/>
      </w:tabs>
      <w:spacing w:before="120" w:after="0"/>
      <w:ind w:left="720" w:right="720" w:hanging="360"/>
      <w:jc w:val="left"/>
    </w:pPr>
    <w:rPr>
      <w:smallCaps/>
      <w:noProof/>
    </w:rPr>
  </w:style>
  <w:style w:type="paragraph" w:styleId="TOC3">
    <w:name w:val="toc 3"/>
    <w:basedOn w:val="BodyText"/>
    <w:next w:val="BodyText"/>
    <w:pPr>
      <w:tabs>
        <w:tab w:val="right" w:leader="dot" w:pos="8307"/>
      </w:tabs>
      <w:spacing w:after="0"/>
      <w:ind w:left="720" w:right="720"/>
    </w:pPr>
  </w:style>
  <w:style w:type="paragraph" w:styleId="TOC4">
    <w:name w:val="toc 4"/>
    <w:basedOn w:val="BodyText"/>
    <w:next w:val="BodyText"/>
    <w:pPr>
      <w:tabs>
        <w:tab w:val="right" w:leader="dot" w:pos="8309"/>
      </w:tabs>
      <w:spacing w:after="0"/>
      <w:ind w:left="1440" w:right="720"/>
    </w:pPr>
  </w:style>
  <w:style w:type="paragraph" w:styleId="TOC5">
    <w:name w:val="toc 5"/>
    <w:basedOn w:val="BodyText"/>
    <w:pPr>
      <w:tabs>
        <w:tab w:val="right" w:leader="dot" w:pos="8309"/>
      </w:tabs>
      <w:spacing w:before="120" w:after="120"/>
      <w:ind w:left="720" w:right="720" w:hanging="720"/>
    </w:pPr>
    <w:rPr>
      <w:caps/>
    </w:rPr>
  </w:style>
  <w:style w:type="paragraph" w:styleId="TOC6">
    <w:name w:val="toc 6"/>
    <w:basedOn w:val="BodyText"/>
    <w:pPr>
      <w:tabs>
        <w:tab w:val="right" w:leader="dot" w:pos="8309"/>
      </w:tabs>
      <w:ind w:left="720" w:right="720"/>
    </w:pPr>
  </w:style>
  <w:style w:type="paragraph" w:styleId="TOC7">
    <w:name w:val="toc 7"/>
    <w:basedOn w:val="BodyText"/>
    <w:pPr>
      <w:tabs>
        <w:tab w:val="right" w:leader="dot" w:pos="8309"/>
      </w:tabs>
      <w:ind w:left="1080" w:right="720"/>
    </w:pPr>
    <w:rPr>
      <w:i/>
    </w:rPr>
  </w:style>
  <w:style w:type="paragraph" w:styleId="TOC8">
    <w:name w:val="toc 8"/>
    <w:basedOn w:val="BodyText"/>
    <w:pPr>
      <w:tabs>
        <w:tab w:val="right" w:leader="dot" w:pos="8309"/>
      </w:tabs>
      <w:ind w:left="1440" w:right="720"/>
    </w:pPr>
    <w:rPr>
      <w:i/>
    </w:rPr>
  </w:style>
  <w:style w:type="paragraph" w:styleId="TOC9">
    <w:name w:val="toc 9"/>
    <w:basedOn w:val="BodyText"/>
    <w:next w:val="Normal"/>
    <w:pPr>
      <w:tabs>
        <w:tab w:val="right" w:leader="dot" w:pos="8309"/>
      </w:tabs>
      <w:ind w:left="1440"/>
    </w:pPr>
    <w:rPr>
      <w:i/>
    </w:rPr>
  </w:style>
  <w:style w:type="paragraph" w:customStyle="1" w:styleId="ParaHeading">
    <w:name w:val="ParaHeading"/>
    <w:basedOn w:val="BodyText"/>
    <w:next w:val="BodyText"/>
    <w:pPr>
      <w:keepNext/>
      <w:keepLines/>
    </w:pPr>
    <w:rPr>
      <w:b/>
    </w:rPr>
  </w:style>
  <w:style w:type="character" w:styleId="FootnoteReference">
    <w:name w:val="footnote reference"/>
    <w:rPr>
      <w:vertAlign w:val="superscript"/>
    </w:rPr>
  </w:style>
  <w:style w:type="paragraph" w:styleId="FootnoteText">
    <w:name w:val="footnote text"/>
    <w:basedOn w:val="BodyText"/>
    <w:link w:val="FootnoteTextChar"/>
    <w:pPr>
      <w:spacing w:after="120"/>
      <w:ind w:left="357" w:hanging="357"/>
    </w:pPr>
    <w:rPr>
      <w:sz w:val="20"/>
      <w:szCs w:val="20"/>
    </w:rPr>
  </w:style>
  <w:style w:type="paragraph" w:customStyle="1" w:styleId="FootNoteSeparator">
    <w:name w:val="FootNote Separator"/>
    <w:basedOn w:val="Normal"/>
    <w:pPr>
      <w:pBdr>
        <w:top w:val="single" w:sz="4" w:space="1" w:color="auto"/>
      </w:pBdr>
    </w:pPr>
  </w:style>
  <w:style w:type="paragraph" w:styleId="ListBullet">
    <w:name w:val="List Bullet"/>
    <w:basedOn w:val="Normal"/>
    <w:pPr>
      <w:numPr>
        <w:numId w:val="11"/>
      </w:numPr>
    </w:pPr>
  </w:style>
  <w:style w:type="paragraph" w:styleId="ListBullet2">
    <w:name w:val="List Bullet 2"/>
    <w:basedOn w:val="Normal"/>
    <w:pPr>
      <w:numPr>
        <w:numId w:val="12"/>
      </w:numPr>
    </w:pPr>
  </w:style>
  <w:style w:type="paragraph" w:styleId="ListBullet3">
    <w:name w:val="List Bullet 3"/>
    <w:basedOn w:val="Normal"/>
    <w:pPr>
      <w:numPr>
        <w:numId w:val="13"/>
      </w:numPr>
    </w:pPr>
  </w:style>
  <w:style w:type="paragraph" w:styleId="ListBullet4">
    <w:name w:val="List Bullet 4"/>
    <w:basedOn w:val="Normal"/>
    <w:pPr>
      <w:numPr>
        <w:numId w:val="14"/>
      </w:numPr>
    </w:pPr>
  </w:style>
  <w:style w:type="paragraph" w:styleId="ListBullet5">
    <w:name w:val="List Bullet 5"/>
    <w:basedOn w:val="Normal"/>
    <w:pPr>
      <w:numPr>
        <w:numId w:val="15"/>
      </w:numPr>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styleId="Index4">
    <w:name w:val="index 4"/>
    <w:basedOn w:val="Normal"/>
    <w:next w:val="Normal"/>
    <w:pPr>
      <w:ind w:left="960" w:hanging="240"/>
    </w:pPr>
  </w:style>
  <w:style w:type="paragraph" w:styleId="Index5">
    <w:name w:val="index 5"/>
    <w:basedOn w:val="Normal"/>
    <w:next w:val="Normal"/>
    <w:pPr>
      <w:ind w:left="1200" w:hanging="240"/>
    </w:pPr>
  </w:style>
  <w:style w:type="paragraph" w:styleId="Index6">
    <w:name w:val="index 6"/>
    <w:basedOn w:val="Normal"/>
    <w:next w:val="Normal"/>
    <w:pPr>
      <w:ind w:left="1440" w:hanging="240"/>
    </w:pPr>
  </w:style>
  <w:style w:type="paragraph" w:styleId="Index7">
    <w:name w:val="index 7"/>
    <w:basedOn w:val="Normal"/>
    <w:next w:val="Normal"/>
    <w:pPr>
      <w:ind w:left="1680" w:hanging="240"/>
    </w:pPr>
  </w:style>
  <w:style w:type="paragraph" w:styleId="Index8">
    <w:name w:val="index 8"/>
    <w:basedOn w:val="Normal"/>
    <w:next w:val="Normal"/>
    <w:pPr>
      <w:ind w:left="1920" w:hanging="240"/>
    </w:pPr>
  </w:style>
  <w:style w:type="paragraph" w:styleId="Index9">
    <w:name w:val="index 9"/>
    <w:basedOn w:val="Normal"/>
    <w:next w:val="Normal"/>
    <w:pPr>
      <w:ind w:left="2160" w:hanging="240"/>
    </w:pPr>
  </w:style>
  <w:style w:type="paragraph" w:customStyle="1" w:styleId="FWBCont1">
    <w:name w:val="FWB Cont 1"/>
    <w:basedOn w:val="Normal"/>
    <w:rsid w:val="0016367C"/>
    <w:pPr>
      <w:spacing w:after="240"/>
      <w:jc w:val="both"/>
    </w:pPr>
    <w:rPr>
      <w:szCs w:val="20"/>
    </w:rPr>
  </w:style>
  <w:style w:type="paragraph" w:customStyle="1" w:styleId="HeaderCPN">
    <w:name w:val="HeaderCPN"/>
    <w:basedOn w:val="BodyText"/>
    <w:pPr>
      <w:spacing w:before="360" w:after="0"/>
      <w:jc w:val="right"/>
    </w:pPr>
  </w:style>
  <w:style w:type="paragraph" w:styleId="Date">
    <w:name w:val="Date"/>
    <w:basedOn w:val="Normal"/>
    <w:next w:val="Normal"/>
  </w:style>
  <w:style w:type="paragraph" w:customStyle="1" w:styleId="FWBCont2">
    <w:name w:val="FWB Cont 2"/>
    <w:basedOn w:val="FWBCont1"/>
    <w:rsid w:val="0016367C"/>
  </w:style>
  <w:style w:type="paragraph" w:customStyle="1" w:styleId="HeaderFPN">
    <w:name w:val="HeaderFPN"/>
    <w:basedOn w:val="HeaderCPN"/>
    <w:pPr>
      <w:spacing w:before="0"/>
    </w:pPr>
  </w:style>
  <w:style w:type="paragraph" w:customStyle="1" w:styleId="HeaderFPCSLogo">
    <w:name w:val="HeaderFPCSLogo"/>
    <w:basedOn w:val="Header"/>
    <w:pPr>
      <w:tabs>
        <w:tab w:val="clear" w:pos="8280"/>
      </w:tabs>
      <w:jc w:val="center"/>
    </w:pPr>
  </w:style>
  <w:style w:type="paragraph" w:customStyle="1" w:styleId="HeaderCPCSLogo">
    <w:name w:val="HeaderCPCSLogo"/>
    <w:basedOn w:val="HeaderFPCSLogo"/>
    <w:pPr>
      <w:spacing w:before="360"/>
    </w:pPr>
  </w:style>
  <w:style w:type="paragraph" w:customStyle="1" w:styleId="FWBCont3">
    <w:name w:val="FWB Cont 3"/>
    <w:basedOn w:val="FWBCont2"/>
    <w:rsid w:val="0016367C"/>
    <w:pPr>
      <w:ind w:left="720"/>
    </w:pPr>
  </w:style>
  <w:style w:type="paragraph" w:customStyle="1" w:styleId="FWBCont4">
    <w:name w:val="FWB Cont 4"/>
    <w:basedOn w:val="FWBCont3"/>
    <w:rsid w:val="0016367C"/>
    <w:pPr>
      <w:ind w:left="1440"/>
    </w:pPr>
  </w:style>
  <w:style w:type="paragraph" w:customStyle="1" w:styleId="FWBCont5">
    <w:name w:val="FWB Cont 5"/>
    <w:basedOn w:val="FWBCont4"/>
    <w:rsid w:val="0016367C"/>
    <w:pPr>
      <w:ind w:left="2160"/>
    </w:pPr>
  </w:style>
  <w:style w:type="paragraph" w:customStyle="1" w:styleId="FWBCont6">
    <w:name w:val="FWB Cont 6"/>
    <w:basedOn w:val="FWBCont5"/>
    <w:rsid w:val="0016367C"/>
    <w:pPr>
      <w:ind w:left="2880"/>
    </w:pPr>
  </w:style>
  <w:style w:type="paragraph" w:customStyle="1" w:styleId="FWBCont7">
    <w:name w:val="FWB Cont 7"/>
    <w:basedOn w:val="FWBCont6"/>
    <w:rsid w:val="0016367C"/>
    <w:pPr>
      <w:ind w:left="3600"/>
    </w:pPr>
  </w:style>
  <w:style w:type="paragraph" w:customStyle="1" w:styleId="FWBCont8">
    <w:name w:val="FWB Cont 8"/>
    <w:basedOn w:val="FWBCont7"/>
    <w:rsid w:val="0016367C"/>
    <w:pPr>
      <w:ind w:left="4321"/>
    </w:pPr>
  </w:style>
  <w:style w:type="paragraph" w:customStyle="1" w:styleId="FWBL1">
    <w:name w:val="FWB_L1"/>
    <w:basedOn w:val="Normal"/>
    <w:next w:val="FWBL2"/>
    <w:rsid w:val="0016367C"/>
    <w:pPr>
      <w:keepNext/>
      <w:keepLines/>
      <w:numPr>
        <w:numId w:val="16"/>
      </w:numPr>
      <w:spacing w:after="240"/>
      <w:outlineLvl w:val="0"/>
    </w:pPr>
    <w:rPr>
      <w:b/>
      <w:smallCaps/>
      <w:szCs w:val="20"/>
    </w:rPr>
  </w:style>
  <w:style w:type="paragraph" w:customStyle="1" w:styleId="FWBL2">
    <w:name w:val="FWB_L2"/>
    <w:basedOn w:val="FWBL1"/>
    <w:rsid w:val="0016367C"/>
    <w:pPr>
      <w:keepNext w:val="0"/>
      <w:keepLines w:val="0"/>
      <w:numPr>
        <w:ilvl w:val="1"/>
      </w:numPr>
      <w:jc w:val="both"/>
      <w:outlineLvl w:val="9"/>
    </w:pPr>
    <w:rPr>
      <w:b w:val="0"/>
      <w:smallCaps w:val="0"/>
    </w:rPr>
  </w:style>
  <w:style w:type="paragraph" w:customStyle="1" w:styleId="FWBL3">
    <w:name w:val="FWB_L3"/>
    <w:basedOn w:val="FWBL2"/>
    <w:rsid w:val="0016367C"/>
    <w:pPr>
      <w:numPr>
        <w:ilvl w:val="2"/>
      </w:numPr>
    </w:pPr>
  </w:style>
  <w:style w:type="paragraph" w:customStyle="1" w:styleId="FWBL4">
    <w:name w:val="FWB_L4"/>
    <w:basedOn w:val="FWBL3"/>
    <w:rsid w:val="0016367C"/>
    <w:pPr>
      <w:numPr>
        <w:ilvl w:val="3"/>
      </w:numPr>
    </w:pPr>
  </w:style>
  <w:style w:type="paragraph" w:customStyle="1" w:styleId="FWBL5">
    <w:name w:val="FWB_L5"/>
    <w:basedOn w:val="FWBL4"/>
    <w:rsid w:val="0016367C"/>
    <w:pPr>
      <w:numPr>
        <w:ilvl w:val="4"/>
      </w:numPr>
    </w:pPr>
  </w:style>
  <w:style w:type="paragraph" w:customStyle="1" w:styleId="FWBL6">
    <w:name w:val="FWB_L6"/>
    <w:basedOn w:val="FWBL5"/>
    <w:rsid w:val="0016367C"/>
    <w:pPr>
      <w:numPr>
        <w:ilvl w:val="5"/>
      </w:numPr>
    </w:pPr>
  </w:style>
  <w:style w:type="paragraph" w:customStyle="1" w:styleId="FWBL7">
    <w:name w:val="FWB_L7"/>
    <w:basedOn w:val="FWBL6"/>
    <w:rsid w:val="0016367C"/>
    <w:pPr>
      <w:numPr>
        <w:ilvl w:val="6"/>
      </w:numPr>
    </w:pPr>
  </w:style>
  <w:style w:type="paragraph" w:customStyle="1" w:styleId="FWBL8">
    <w:name w:val="FWB_L8"/>
    <w:basedOn w:val="FWBL7"/>
    <w:rsid w:val="0016367C"/>
    <w:pPr>
      <w:numPr>
        <w:ilvl w:val="7"/>
      </w:numPr>
    </w:pPr>
  </w:style>
  <w:style w:type="paragraph" w:customStyle="1" w:styleId="FWNL1">
    <w:name w:val="FWN_L1"/>
    <w:basedOn w:val="Normal"/>
    <w:rsid w:val="00E17FFE"/>
    <w:pPr>
      <w:numPr>
        <w:numId w:val="24"/>
      </w:numPr>
      <w:spacing w:after="240"/>
      <w:jc w:val="both"/>
    </w:pPr>
    <w:rPr>
      <w:szCs w:val="20"/>
    </w:rPr>
  </w:style>
  <w:style w:type="paragraph" w:customStyle="1" w:styleId="FWNL2">
    <w:name w:val="FWN_L2"/>
    <w:basedOn w:val="FWNL1"/>
    <w:rsid w:val="00E17FFE"/>
    <w:pPr>
      <w:numPr>
        <w:numId w:val="0"/>
      </w:numPr>
    </w:pPr>
  </w:style>
  <w:style w:type="paragraph" w:customStyle="1" w:styleId="FWNL3">
    <w:name w:val="FWN_L3"/>
    <w:basedOn w:val="FWNL2"/>
    <w:rsid w:val="00E17FFE"/>
    <w:pPr>
      <w:numPr>
        <w:ilvl w:val="2"/>
        <w:numId w:val="24"/>
      </w:numPr>
    </w:pPr>
  </w:style>
  <w:style w:type="paragraph" w:customStyle="1" w:styleId="FWNL4">
    <w:name w:val="FWN_L4"/>
    <w:basedOn w:val="FWNL3"/>
    <w:rsid w:val="00E17FFE"/>
    <w:pPr>
      <w:numPr>
        <w:ilvl w:val="3"/>
      </w:numPr>
    </w:pPr>
  </w:style>
  <w:style w:type="paragraph" w:customStyle="1" w:styleId="FWNL5">
    <w:name w:val="FWN_L5"/>
    <w:basedOn w:val="FWNL4"/>
    <w:rsid w:val="00E17FFE"/>
    <w:pPr>
      <w:numPr>
        <w:ilvl w:val="4"/>
      </w:numPr>
    </w:pPr>
  </w:style>
  <w:style w:type="paragraph" w:customStyle="1" w:styleId="FWNL6">
    <w:name w:val="FWN_L6"/>
    <w:basedOn w:val="FWNL5"/>
    <w:rsid w:val="00E17FFE"/>
    <w:pPr>
      <w:numPr>
        <w:ilvl w:val="5"/>
      </w:numPr>
    </w:pPr>
  </w:style>
  <w:style w:type="paragraph" w:customStyle="1" w:styleId="FWNL7">
    <w:name w:val="FWN_L7"/>
    <w:basedOn w:val="FWNL6"/>
    <w:rsid w:val="00E17FFE"/>
    <w:pPr>
      <w:numPr>
        <w:ilvl w:val="6"/>
      </w:numPr>
    </w:pPr>
  </w:style>
  <w:style w:type="paragraph" w:customStyle="1" w:styleId="FWSL1">
    <w:name w:val="FWS_L1"/>
    <w:basedOn w:val="Normal"/>
    <w:next w:val="FWSL2"/>
    <w:rsid w:val="00A013BA"/>
    <w:pPr>
      <w:keepNext/>
      <w:keepLines/>
      <w:pageBreakBefore/>
      <w:numPr>
        <w:numId w:val="38"/>
      </w:numPr>
      <w:spacing w:after="240" w:line="480" w:lineRule="auto"/>
      <w:jc w:val="center"/>
      <w:outlineLvl w:val="0"/>
    </w:pPr>
    <w:rPr>
      <w:b/>
      <w:caps/>
      <w:szCs w:val="20"/>
    </w:rPr>
  </w:style>
  <w:style w:type="paragraph" w:customStyle="1" w:styleId="FWSL2">
    <w:name w:val="FWS_L2"/>
    <w:basedOn w:val="FWSL1"/>
    <w:next w:val="FWSL3"/>
    <w:rsid w:val="00A013BA"/>
    <w:pPr>
      <w:pageBreakBefore w:val="0"/>
      <w:numPr>
        <w:ilvl w:val="1"/>
      </w:numPr>
      <w:spacing w:line="240" w:lineRule="auto"/>
      <w:outlineLvl w:val="1"/>
    </w:pPr>
    <w:rPr>
      <w:caps w:val="0"/>
    </w:rPr>
  </w:style>
  <w:style w:type="paragraph" w:customStyle="1" w:styleId="FWSL3">
    <w:name w:val="FWS_L3"/>
    <w:basedOn w:val="FWSL2"/>
    <w:next w:val="FWSL5"/>
    <w:rsid w:val="00A013BA"/>
    <w:pPr>
      <w:numPr>
        <w:ilvl w:val="2"/>
      </w:numPr>
      <w:jc w:val="left"/>
      <w:outlineLvl w:val="2"/>
    </w:pPr>
    <w:rPr>
      <w:smallCaps/>
    </w:rPr>
  </w:style>
  <w:style w:type="paragraph" w:customStyle="1" w:styleId="FWSL5">
    <w:name w:val="FWS_L5"/>
    <w:basedOn w:val="FWSL4"/>
    <w:rsid w:val="00A013BA"/>
    <w:pPr>
      <w:numPr>
        <w:ilvl w:val="4"/>
      </w:numPr>
    </w:pPr>
  </w:style>
  <w:style w:type="paragraph" w:customStyle="1" w:styleId="FWSL4">
    <w:name w:val="FWS_L4"/>
    <w:basedOn w:val="FWSL3"/>
    <w:rsid w:val="00A013BA"/>
    <w:pPr>
      <w:keepNext w:val="0"/>
      <w:keepLines w:val="0"/>
      <w:numPr>
        <w:ilvl w:val="3"/>
      </w:numPr>
      <w:jc w:val="both"/>
      <w:outlineLvl w:val="9"/>
    </w:pPr>
    <w:rPr>
      <w:b w:val="0"/>
      <w:smallCaps w:val="0"/>
    </w:rPr>
  </w:style>
  <w:style w:type="paragraph" w:customStyle="1" w:styleId="FWSL6">
    <w:name w:val="FWS_L6"/>
    <w:basedOn w:val="FWSL5"/>
    <w:rsid w:val="00A013BA"/>
    <w:pPr>
      <w:numPr>
        <w:ilvl w:val="5"/>
      </w:numPr>
    </w:pPr>
  </w:style>
  <w:style w:type="paragraph" w:customStyle="1" w:styleId="FWSL7">
    <w:name w:val="FWS_L7"/>
    <w:basedOn w:val="FWSL6"/>
    <w:rsid w:val="00A013BA"/>
    <w:pPr>
      <w:numPr>
        <w:ilvl w:val="6"/>
      </w:numPr>
    </w:pPr>
  </w:style>
  <w:style w:type="paragraph" w:customStyle="1" w:styleId="FWSL8">
    <w:name w:val="FWS_L8"/>
    <w:basedOn w:val="FWSL7"/>
    <w:rsid w:val="00A013BA"/>
    <w:pPr>
      <w:numPr>
        <w:ilvl w:val="7"/>
      </w:numPr>
    </w:pPr>
  </w:style>
  <w:style w:type="paragraph" w:customStyle="1" w:styleId="FWSL9">
    <w:name w:val="FWS_L9"/>
    <w:basedOn w:val="FWSL8"/>
    <w:rsid w:val="00A013BA"/>
    <w:pPr>
      <w:numPr>
        <w:ilvl w:val="8"/>
      </w:numPr>
    </w:pPr>
  </w:style>
  <w:style w:type="paragraph" w:customStyle="1" w:styleId="FWNCont1">
    <w:name w:val="FWN Cont 1"/>
    <w:basedOn w:val="Normal"/>
    <w:rsid w:val="009C48FA"/>
    <w:pPr>
      <w:spacing w:after="240"/>
      <w:jc w:val="both"/>
    </w:pPr>
    <w:rPr>
      <w:szCs w:val="20"/>
    </w:rPr>
  </w:style>
  <w:style w:type="paragraph" w:customStyle="1" w:styleId="FWNCont3">
    <w:name w:val="FWN Cont 3"/>
    <w:basedOn w:val="FWNCont2"/>
    <w:rsid w:val="009C48FA"/>
    <w:pPr>
      <w:ind w:left="1440"/>
    </w:pPr>
  </w:style>
  <w:style w:type="paragraph" w:customStyle="1" w:styleId="FWNCont2">
    <w:name w:val="FWN Cont 2"/>
    <w:basedOn w:val="FWNCont1"/>
    <w:rsid w:val="009C48FA"/>
    <w:pPr>
      <w:ind w:left="720"/>
    </w:pPr>
  </w:style>
  <w:style w:type="paragraph" w:styleId="DocumentMap">
    <w:name w:val="Document Map"/>
    <w:basedOn w:val="Normal"/>
    <w:semiHidden/>
    <w:rsid w:val="00833BBC"/>
    <w:pPr>
      <w:shd w:val="clear" w:color="auto" w:fill="000080"/>
    </w:pPr>
    <w:rPr>
      <w:rFonts w:ascii="Tahoma" w:hAnsi="Tahoma" w:cs="Tahoma"/>
    </w:rPr>
  </w:style>
  <w:style w:type="paragraph" w:customStyle="1" w:styleId="FWSCont1">
    <w:name w:val="FWS Cont 1"/>
    <w:basedOn w:val="Normal"/>
    <w:rsid w:val="00A013BA"/>
    <w:pPr>
      <w:spacing w:after="240"/>
      <w:jc w:val="both"/>
    </w:pPr>
    <w:rPr>
      <w:szCs w:val="20"/>
    </w:rPr>
  </w:style>
  <w:style w:type="paragraph" w:customStyle="1" w:styleId="FWSCont2">
    <w:name w:val="FWS Cont 2"/>
    <w:basedOn w:val="FWSCont1"/>
    <w:rsid w:val="00A013BA"/>
  </w:style>
  <w:style w:type="paragraph" w:customStyle="1" w:styleId="FWSCont3">
    <w:name w:val="FWS Cont 3"/>
    <w:basedOn w:val="FWSCont2"/>
    <w:rsid w:val="00A013BA"/>
  </w:style>
  <w:style w:type="paragraph" w:customStyle="1" w:styleId="FWSCont4">
    <w:name w:val="FWS Cont 4"/>
    <w:basedOn w:val="FWSCont3"/>
    <w:rsid w:val="00A013BA"/>
  </w:style>
  <w:style w:type="paragraph" w:customStyle="1" w:styleId="FWSCont5">
    <w:name w:val="FWS Cont 5"/>
    <w:basedOn w:val="FWSCont4"/>
    <w:rsid w:val="00A013BA"/>
  </w:style>
  <w:style w:type="paragraph" w:customStyle="1" w:styleId="FWSCont6">
    <w:name w:val="FWS Cont 6"/>
    <w:basedOn w:val="FWSCont5"/>
    <w:rsid w:val="00A013BA"/>
    <w:pPr>
      <w:ind w:left="720"/>
    </w:pPr>
  </w:style>
  <w:style w:type="paragraph" w:customStyle="1" w:styleId="FWSCont7">
    <w:name w:val="FWS Cont 7"/>
    <w:basedOn w:val="FWSCont6"/>
    <w:rsid w:val="00A013BA"/>
    <w:pPr>
      <w:ind w:left="1440"/>
    </w:pPr>
  </w:style>
  <w:style w:type="paragraph" w:customStyle="1" w:styleId="FWSCont8">
    <w:name w:val="FWS Cont 8"/>
    <w:basedOn w:val="FWSCont7"/>
    <w:rsid w:val="00A013BA"/>
    <w:pPr>
      <w:ind w:left="2160"/>
    </w:pPr>
  </w:style>
  <w:style w:type="paragraph" w:customStyle="1" w:styleId="FWSCont9">
    <w:name w:val="FWS Cont 9"/>
    <w:basedOn w:val="FWSCont7"/>
    <w:rsid w:val="00A013BA"/>
    <w:pPr>
      <w:ind w:left="2880"/>
    </w:pPr>
  </w:style>
  <w:style w:type="character" w:styleId="Hyperlink">
    <w:name w:val="Hyperlink"/>
    <w:rsid w:val="00E02B28"/>
    <w:rPr>
      <w:color w:val="0000FF"/>
      <w:u w:val="single"/>
    </w:rPr>
  </w:style>
  <w:style w:type="paragraph" w:styleId="BalloonText">
    <w:name w:val="Balloon Text"/>
    <w:basedOn w:val="Normal"/>
    <w:link w:val="BalloonTextChar"/>
    <w:rsid w:val="00A81F3E"/>
    <w:rPr>
      <w:rFonts w:ascii="Tahoma" w:hAnsi="Tahoma" w:cs="Tahoma"/>
      <w:sz w:val="16"/>
      <w:szCs w:val="16"/>
    </w:rPr>
  </w:style>
  <w:style w:type="character" w:customStyle="1" w:styleId="BalloonTextChar">
    <w:name w:val="Balloon Text Char"/>
    <w:link w:val="BalloonText"/>
    <w:rsid w:val="00A81F3E"/>
    <w:rPr>
      <w:rFonts w:ascii="Tahoma" w:hAnsi="Tahoma" w:cs="Tahoma"/>
      <w:sz w:val="16"/>
      <w:szCs w:val="16"/>
      <w:lang w:eastAsia="en-US"/>
    </w:rPr>
  </w:style>
  <w:style w:type="character" w:styleId="CommentReference">
    <w:name w:val="annotation reference"/>
    <w:basedOn w:val="DefaultParagraphFont"/>
    <w:semiHidden/>
    <w:unhideWhenUsed/>
    <w:rsid w:val="0098214E"/>
    <w:rPr>
      <w:sz w:val="16"/>
      <w:szCs w:val="16"/>
    </w:rPr>
  </w:style>
  <w:style w:type="paragraph" w:styleId="CommentText">
    <w:name w:val="annotation text"/>
    <w:basedOn w:val="Normal"/>
    <w:link w:val="CommentTextChar"/>
    <w:semiHidden/>
    <w:unhideWhenUsed/>
    <w:rsid w:val="0098214E"/>
    <w:rPr>
      <w:sz w:val="20"/>
      <w:szCs w:val="20"/>
    </w:rPr>
  </w:style>
  <w:style w:type="character" w:customStyle="1" w:styleId="CommentTextChar">
    <w:name w:val="Comment Text Char"/>
    <w:basedOn w:val="DefaultParagraphFont"/>
    <w:link w:val="CommentText"/>
    <w:semiHidden/>
    <w:rsid w:val="0098214E"/>
    <w:rPr>
      <w:lang w:eastAsia="en-US"/>
    </w:rPr>
  </w:style>
  <w:style w:type="paragraph" w:styleId="CommentSubject">
    <w:name w:val="annotation subject"/>
    <w:basedOn w:val="CommentText"/>
    <w:next w:val="CommentText"/>
    <w:link w:val="CommentSubjectChar"/>
    <w:semiHidden/>
    <w:unhideWhenUsed/>
    <w:rsid w:val="0098214E"/>
    <w:rPr>
      <w:b/>
      <w:bCs/>
    </w:rPr>
  </w:style>
  <w:style w:type="character" w:customStyle="1" w:styleId="CommentSubjectChar">
    <w:name w:val="Comment Subject Char"/>
    <w:basedOn w:val="CommentTextChar"/>
    <w:link w:val="CommentSubject"/>
    <w:semiHidden/>
    <w:rsid w:val="0098214E"/>
    <w:rPr>
      <w:b/>
      <w:bCs/>
      <w:lang w:eastAsia="en-US"/>
    </w:rPr>
  </w:style>
  <w:style w:type="character" w:customStyle="1" w:styleId="FootnoteTextChar">
    <w:name w:val="Footnote Text Char"/>
    <w:link w:val="FootnoteText"/>
    <w:locked/>
    <w:rsid w:val="00A26D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ankofengland.co.uk"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bankofengland.co.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bankofengland.co.u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ankofengland.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Base_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BOEReplicationFlag xmlns="http://schemas.microsoft.com/sharepoint/v3">0</BOEReplicationFlag>
    <TaxCatchAll xmlns="a5edd0e9-353e-4089-bcbc-d9218926e91f">
      <Value>39</Value>
    </TaxCatchAll>
    <BOETwoLevelApprovalUnapprovedUrls xmlns="1789C550-A0F1-49FC-9BBF-86F14887A01A" xsi:nil="true"/>
    <BOEReplicateBackwardLinksOnDeployFlag xmlns="http://schemas.microsoft.com/sharepoint/v3">false</BOEReplicateBackwardLinksOnDeployFlag>
    <PublishDate xmlns="http://schemas.microsoft.com/sharepoint/v3" xsi:nil="true"/>
    <BOETaxonomyFieldTaxHTField0 xmlns="1789C550-A0F1-49FC-9BBF-86F14887A01A">
      <Terms xmlns="http://schemas.microsoft.com/office/infopath/2007/PartnerControls">
        <TermInfo xmlns="http://schemas.microsoft.com/office/infopath/2007/PartnerControls">
          <TermName xmlns="http://schemas.microsoft.com/office/infopath/2007/PartnerControls">Markets</TermName>
          <TermId xmlns="http://schemas.microsoft.com/office/infopath/2007/PartnerControls">3b29a04c-23df-40f2-9c92-7fbcc36495b2</TermId>
        </TermInfo>
      </Terms>
    </BOETaxonomyFieldTaxHTField0>
    <ContentReviewDate xmlns="http://schemas.microsoft.com/sharepoint/v3">1900-01-01T00:00:00Z</ContentReviewDate>
    <PublishingExpirationDate xmlns="http://schemas.microsoft.com/sharepoint/v3" xsi:nil="true"/>
    <IncludeContentsInIndex xmlns="http://schemas.microsoft.com/sharepoint/v3">true</IncludeContentsInIndex>
    <PublishingStartDate xmlns="http://schemas.microsoft.com/sharepoint/v3" xsi:nil="true"/>
    <BOEKeywords xmlns="http://schemas.microsoft.com/sharepoint/v3/fields" xsi:nil="true"/>
    <OwnerGroup xmlns="http://schemas.microsoft.com/sharepoint/v3">
      <UserInfo>
        <DisplayName/>
        <AccountId>330</AccountId>
        <AccountType/>
      </UserInfo>
    </OwnerGroup>
    <BOEApprovalStatus xmlns="http://schemas.microsoft.com/sharepoint/v3">Pending Approval</BOEApprovalStatus>
    <BOESummaryText xmlns="http://schemas.microsoft.com/sharepoint/v3" xsi:nil="true"/>
    <ArchivalChoice xmlns="http://schemas.microsoft.com/sharepoint/v3">3 Years</ArchivalChoice>
    <Archival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3E0C92AC79B24CAAC85AA1BAC7BBA8" ma:contentTypeVersion="1083" ma:contentTypeDescription="Create a new document." ma:contentTypeScope="" ma:versionID="a71f411e27d38df8e694dd48dcf542ea">
  <xsd:schema xmlns:xsd="http://www.w3.org/2001/XMLSchema" xmlns:xs="http://www.w3.org/2001/XMLSchema" xmlns:p="http://schemas.microsoft.com/office/2006/metadata/properties" xmlns:ns1="http://schemas.microsoft.com/sharepoint/v3" xmlns:ns2="1789C550-A0F1-49FC-9BBF-86F14887A01A" xmlns:ns3="a5edd0e9-353e-4089-bcbc-d9218926e91f" xmlns:ns4="A5EDD0E9-353E-4089-BCBC-D9218926E91F" xmlns:ns5="http://schemas.microsoft.com/sharepoint/v3/fields" targetNamespace="http://schemas.microsoft.com/office/2006/metadata/properties" ma:root="true" ma:fieldsID="88d1e0905f22dcc13c92d7b8adf18442" ns1:_="" ns2:_="" ns3:_="" ns4:_="" ns5:_="">
    <xsd:import namespace="http://schemas.microsoft.com/sharepoint/v3"/>
    <xsd:import namespace="1789C550-A0F1-49FC-9BBF-86F14887A01A"/>
    <xsd:import namespace="a5edd0e9-353e-4089-bcbc-d9218926e91f"/>
    <xsd:import namespace="A5EDD0E9-353E-4089-BCBC-D9218926E91F"/>
    <xsd:import namespace="http://schemas.microsoft.com/sharepoint/v3/fields"/>
    <xsd:element name="properties">
      <xsd:complexType>
        <xsd:sequence>
          <xsd:element name="documentManagement">
            <xsd:complexType>
              <xsd:all>
                <xsd:element ref="ns1:PublishingStartDate" minOccurs="0"/>
                <xsd:element ref="ns1:PublishingExpirationDate" minOccurs="0"/>
                <xsd:element ref="ns1:PublishDate" minOccurs="0"/>
                <xsd:element ref="ns1:OwnerGroup"/>
                <xsd:element ref="ns2:BOETaxonomyFieldTaxHTField0" minOccurs="0"/>
                <xsd:element ref="ns3:TaxCatchAll" minOccurs="0"/>
                <xsd:element ref="ns4:TaxCatchAllLabel" minOccurs="0"/>
                <xsd:element ref="ns5:BOEKeywords" minOccurs="0"/>
                <xsd:element ref="ns1:BOESummaryText" minOccurs="0"/>
                <xsd:element ref="ns1:IncludeContentsInIndex" minOccurs="0"/>
                <xsd:element ref="ns1:BOEApprovalStatus" minOccurs="0"/>
                <xsd:element ref="ns2:BOETwoLevelApprovalUnapprovedUrls" minOccurs="0"/>
                <xsd:element ref="ns1:ApprovedBy" minOccurs="0"/>
                <xsd:element ref="ns1:PublishedBy" minOccurs="0"/>
                <xsd:element ref="ns1:ArchivalDate" minOccurs="0"/>
                <xsd:element ref="ns1:ArchivalChoice"/>
                <xsd:element ref="ns1:BOEReplicationFlag" minOccurs="0"/>
                <xsd:element ref="ns1:BOEReplicateBackwardLinksOnDeployFlag" minOccurs="0"/>
                <xsd:element ref="ns1:ContentReview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element name="PublishDate" ma:index="10" nillable="true" ma:displayName="Publication Date" ma:format="DateOnly" ma:internalName="PublishDate" ma:readOnly="false">
      <xsd:simpleType>
        <xsd:restriction base="dms:DateTime"/>
      </xsd:simpleType>
    </xsd:element>
    <xsd:element name="OwnerGroup" ma:index="11" ma:displayName="Owner Group" ma:list="UserInfo" ma:SearchPeopleOnly="false" ma:internalName="OwnerGroup"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BOESummaryText" ma:index="17" nillable="true" ma:displayName="Summary Text" ma:internalName="BOESummaryText" ma:readOnly="false">
      <xsd:simpleType>
        <xsd:restriction base="dms:Note">
          <xsd:maxLength value="255"/>
        </xsd:restriction>
      </xsd:simpleType>
    </xsd:element>
    <xsd:element name="IncludeContentsInIndex" ma:index="18" nillable="true" ma:displayName="Make Content Searchable" ma:default="1" ma:internalName="IncludeContentsInIndex" ma:readOnly="false">
      <xsd:simpleType>
        <xsd:restriction base="dms:Boolean"/>
      </xsd:simpleType>
    </xsd:element>
    <xsd:element name="BOEApprovalStatus" ma:index="19" nillable="true" ma:displayName="2 Stage Approval Status" ma:default="Pending Approval" ma:internalName="BOEApprovalStatus" ma:readOnly="false">
      <xsd:simpleType>
        <xsd:restriction base="dms:Choice">
          <xsd:enumeration value="Pending Approval"/>
          <xsd:enumeration value="Level 1 Approved"/>
          <xsd:enumeration value="Level 1 Rejected"/>
          <xsd:enumeration value="Level 2 Approved"/>
          <xsd:enumeration value="Level 2 Rejected"/>
        </xsd:restriction>
      </xsd:simpleType>
    </xsd:element>
    <xsd:element name="ApprovedBy" ma:index="21" nillable="true" ma:displayName="Approved By" ma:list="UserInfo" ma:internalName="Appro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edBy" ma:index="22" nillable="true" ma:displayName="Published By" ma:list="UserInfo" ma:internalName="Publish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valDate" ma:index="23" nillable="true" ma:displayName="Archival Date" ma:format="DateOnly" ma:internalName="ArchivalDate" ma:readOnly="false">
      <xsd:simpleType>
        <xsd:restriction base="dms:DateTime"/>
      </xsd:simpleType>
    </xsd:element>
    <xsd:element name="ArchivalChoice" ma:index="24" ma:displayName="Archive In" ma:default="3 Years" ma:internalName="ArchivalChoice" ma:readOnly="false">
      <xsd:simpleType>
        <xsd:restriction base="dms:Choice">
          <xsd:enumeration value="3 Months"/>
          <xsd:enumeration value="6 Months"/>
          <xsd:enumeration value="1 Year"/>
          <xsd:enumeration value="2 Years"/>
          <xsd:enumeration value="3 Years"/>
          <xsd:enumeration value="4 Years"/>
          <xsd:enumeration value="5 Years"/>
        </xsd:restriction>
      </xsd:simpleType>
    </xsd:element>
    <xsd:element name="BOEReplicationFlag" ma:index="25" nillable="true" ma:displayName="Replicated" ma:default="1" ma:internalName="Replicated" ma:readOnly="false">
      <xsd:simpleType>
        <xsd:restriction base="dms:Text"/>
      </xsd:simpleType>
    </xsd:element>
    <xsd:element name="BOEReplicateBackwardLinksOnDeployFlag" ma:index="26" nillable="true" ma:displayName="Replicate Backward Links On Deploy" ma:default="0" ma:internalName="Replicate_x0020_Backward_x0020_Links_x0020_On_x0020_Deploy" ma:readOnly="false">
      <xsd:simpleType>
        <xsd:restriction base="dms:Boolean"/>
      </xsd:simpleType>
    </xsd:element>
    <xsd:element name="ContentReviewDate" ma:index="27" ma:displayName="Content Review Date" ma:internalName="ContentReview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89C550-A0F1-49FC-9BBF-86F14887A01A" elementFormDefault="qualified">
    <xsd:import namespace="http://schemas.microsoft.com/office/2006/documentManagement/types"/>
    <xsd:import namespace="http://schemas.microsoft.com/office/infopath/2007/PartnerControls"/>
    <xsd:element name="BOETaxonomyFieldTaxHTField0" ma:index="13" ma:taxonomy="true" ma:internalName="BOETaxonomyFieldTaxHTField0" ma:taxonomyFieldName="BOETaxonomyField" ma:displayName="Taxonomy" ma:default="" ma:fieldId="{8d0458c1-0fb7-4981-bee1-52d0df01895c}" ma:taxonomyMulti="true" ma:sspId="8879b917-e261-45cf-a9d8-7a379b5709b9" ma:termSetId="f722e845-53bc-4304-a021-71ff68974382" ma:anchorId="00000000-0000-0000-0000-000000000000" ma:open="false" ma:isKeyword="false">
      <xsd:complexType>
        <xsd:sequence>
          <xsd:element ref="pc:Terms" minOccurs="0" maxOccurs="1"/>
        </xsd:sequence>
      </xsd:complexType>
    </xsd:element>
    <xsd:element name="BOETwoLevelApprovalUnapprovedUrls" ma:index="20" nillable="true" ma:displayName="Unapproved Urls" ma:internalName="BOETwoLevelApprovalUnapprovedUrl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edd0e9-353e-4089-bcbc-d9218926e91f" elementFormDefault="qualified">
    <xsd:import namespace="http://schemas.microsoft.com/office/2006/documentManagement/types"/>
    <xsd:import namespace="http://schemas.microsoft.com/office/infopath/2007/PartnerControls"/>
    <xsd:element name="TaxCatchAll" ma:index="14" nillable="true" ma:displayName="Taxonomy Catch All Column" ma:description="" ma:hidden="true" ma:list="{24e5fe3a-2481-4c14-85cb-2566c1d518d1}" ma:internalName="TaxCatchAll" ma:showField="CatchAllData" ma:web="a5edd0e9-353e-4089-bcbc-d9218926e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5EDD0E9-353E-4089-BCBC-D9218926E91F" elementFormDefault="qualified">
    <xsd:import namespace="http://schemas.microsoft.com/office/2006/documentManagement/types"/>
    <xsd:import namespace="http://schemas.microsoft.com/office/infopath/2007/PartnerControls"/>
    <xsd:element name="TaxCatchAllLabel" ma:index="15" nillable="true" ma:displayName="Taxonomy Catch All Column1" ma:hidden="true" ma:list="{24e5fe3a-2481-4c14-85cb-2566c1d518d1}" ma:internalName="TaxCatchAllLabel" ma:readOnly="true" ma:showField="CatchAllDataLabel" ma:web="a5edd0e9-353e-4089-bcbc-d9218926e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BOEKeywords" ma:index="16" nillable="true" ma:displayName="Keywords" ma:hidden="true" ma:internalName="BOEKeyword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BB145-052C-4DC9-ADB9-0E5C04776786}">
  <ds:schemaRefs>
    <ds:schemaRef ds:uri="http://purl.org/dc/elements/1.1/"/>
    <ds:schemaRef ds:uri="http://schemas.microsoft.com/office/2006/metadata/properties"/>
    <ds:schemaRef ds:uri="http://schemas.microsoft.com/sharepoint/v3"/>
    <ds:schemaRef ds:uri="A5EDD0E9-353E-4089-BCBC-D9218926E91F"/>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schemas.microsoft.com/sharepoint/v3/fields"/>
    <ds:schemaRef ds:uri="1789C550-A0F1-49FC-9BBF-86F14887A01A"/>
    <ds:schemaRef ds:uri="a5edd0e9-353e-4089-bcbc-d9218926e91f"/>
    <ds:schemaRef ds:uri="http://www.w3.org/XML/1998/namespace"/>
    <ds:schemaRef ds:uri="http://purl.org/dc/dcmitype/"/>
  </ds:schemaRefs>
</ds:datastoreItem>
</file>

<file path=customXml/itemProps2.xml><?xml version="1.0" encoding="utf-8"?>
<ds:datastoreItem xmlns:ds="http://schemas.openxmlformats.org/officeDocument/2006/customXml" ds:itemID="{28C6F5C5-E203-4911-BB06-DBC9CBC83C3B}">
  <ds:schemaRefs>
    <ds:schemaRef ds:uri="http://schemas.microsoft.com/sharepoint/v3/contenttype/forms"/>
  </ds:schemaRefs>
</ds:datastoreItem>
</file>

<file path=customXml/itemProps3.xml><?xml version="1.0" encoding="utf-8"?>
<ds:datastoreItem xmlns:ds="http://schemas.openxmlformats.org/officeDocument/2006/customXml" ds:itemID="{9B8B7CBE-98AC-4286-84E7-82E8B6385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789C550-A0F1-49FC-9BBF-86F14887A01A"/>
    <ds:schemaRef ds:uri="a5edd0e9-353e-4089-bcbc-d9218926e91f"/>
    <ds:schemaRef ds:uri="A5EDD0E9-353E-4089-BCBC-D9218926E91F"/>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77E5F-8A7C-48D1-8E88-634BC1C26207}">
  <ds:schemaRefs>
    <ds:schemaRef ds:uri="http://schemas.microsoft.com/office/2006/metadata/longProperties"/>
  </ds:schemaRefs>
</ds:datastoreItem>
</file>

<file path=customXml/itemProps5.xml><?xml version="1.0" encoding="utf-8"?>
<ds:datastoreItem xmlns:ds="http://schemas.openxmlformats.org/officeDocument/2006/customXml" ds:itemID="{18495F58-6312-4949-81D4-330F0CD06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Base_Document</Template>
  <TotalTime>6</TotalTime>
  <Pages>17</Pages>
  <Words>4639</Words>
  <Characters>26444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DWF Pro Forma Scottish Law Opinion</vt:lpstr>
    </vt:vector>
  </TitlesOfParts>
  <Company>Bank of England</Company>
  <LinksUpToDate>false</LinksUpToDate>
  <CharactersWithSpaces>31021</CharactersWithSpaces>
  <SharedDoc>false</SharedDoc>
  <HLinks>
    <vt:vector size="18" baseType="variant">
      <vt:variant>
        <vt:i4>6881380</vt:i4>
      </vt:variant>
      <vt:variant>
        <vt:i4>6</vt:i4>
      </vt:variant>
      <vt:variant>
        <vt:i4>0</vt:i4>
      </vt:variant>
      <vt:variant>
        <vt:i4>5</vt:i4>
      </vt:variant>
      <vt:variant>
        <vt:lpwstr>http://www.bankofengland.co.uk/</vt:lpwstr>
      </vt:variant>
      <vt:variant>
        <vt:lpwstr/>
      </vt:variant>
      <vt:variant>
        <vt:i4>6881380</vt:i4>
      </vt:variant>
      <vt:variant>
        <vt:i4>3</vt:i4>
      </vt:variant>
      <vt:variant>
        <vt:i4>0</vt:i4>
      </vt:variant>
      <vt:variant>
        <vt:i4>5</vt:i4>
      </vt:variant>
      <vt:variant>
        <vt:lpwstr>http://www.bankofengland.co.uk/</vt:lpwstr>
      </vt:variant>
      <vt:variant>
        <vt:lpwstr/>
      </vt:variant>
      <vt:variant>
        <vt:i4>6881380</vt:i4>
      </vt:variant>
      <vt:variant>
        <vt:i4>0</vt:i4>
      </vt:variant>
      <vt:variant>
        <vt:i4>0</vt:i4>
      </vt:variant>
      <vt:variant>
        <vt:i4>5</vt:i4>
      </vt:variant>
      <vt:variant>
        <vt:lpwstr>http://www.bankofengland.co.uk/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DWF Pro Forma Scottish Law Opinion</dc:title>
  <dc:creator>Moorhead, Nick</dc:creator>
  <cp:lastModifiedBy>Froy, Joanna</cp:lastModifiedBy>
  <cp:revision>5</cp:revision>
  <cp:lastPrinted>2011-01-06T13:53:00Z</cp:lastPrinted>
  <dcterms:created xsi:type="dcterms:W3CDTF">2020-04-01T14:12:00Z</dcterms:created>
  <dcterms:modified xsi:type="dcterms:W3CDTF">2020-04-03T12:49:00Z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cationReviewalChoice">
    <vt:lpwstr/>
  </property>
  <property fmtid="{D5CDD505-2E9C-101B-9397-08002B2CF9AE}" pid="3" name="display_urn:schemas-microsoft-com:office:office#OwnerGroup">
    <vt:lpwstr/>
  </property>
  <property fmtid="{D5CDD505-2E9C-101B-9397-08002B2CF9AE}" pid="4" name="BOETaxonomyField">
    <vt:lpwstr>39;#Markets|3b29a04c-23df-40f2-9c92-7fbcc36495b2</vt:lpwstr>
  </property>
  <property fmtid="{D5CDD505-2E9C-101B-9397-08002B2CF9AE}" pid="5" name="TemplateUrl">
    <vt:lpwstr/>
  </property>
  <property fmtid="{D5CDD505-2E9C-101B-9397-08002B2CF9AE}" pid="6" name="Order">
    <vt:lpwstr>173800.000000000</vt:lpwstr>
  </property>
  <property fmtid="{D5CDD505-2E9C-101B-9397-08002B2CF9AE}" pid="7" name="xd_ProgID">
    <vt:lpwstr/>
  </property>
  <property fmtid="{D5CDD505-2E9C-101B-9397-08002B2CF9AE}" pid="8" name="ContentTypeId">
    <vt:lpwstr>0x010100A55D320D5561704B9C84AF30DFF6E39F</vt:lpwstr>
  </property>
  <property fmtid="{D5CDD505-2E9C-101B-9397-08002B2CF9AE}" pid="9" name="_SourceUrl">
    <vt:lpwstr/>
  </property>
  <property fmtid="{D5CDD505-2E9C-101B-9397-08002B2CF9AE}" pid="10" name="_SharedFileIndex">
    <vt:lpwstr/>
  </property>
  <property fmtid="{D5CDD505-2E9C-101B-9397-08002B2CF9AE}" pid="11" name="DocRef">
    <vt:lpwstr>Markets 1219551</vt:lpwstr>
  </property>
  <property fmtid="{D5CDD505-2E9C-101B-9397-08002B2CF9AE}" pid="12" name="DocVer">
    <vt:lpwstr>Markets 1219551v2</vt:lpwstr>
  </property>
  <property fmtid="{D5CDD505-2E9C-101B-9397-08002B2CF9AE}" pid="13" name="docId">
    <vt:lpwstr>LON51914003</vt:lpwstr>
  </property>
  <property fmtid="{D5CDD505-2E9C-101B-9397-08002B2CF9AE}" pid="14" name="docVersion">
    <vt:lpwstr>3</vt:lpwstr>
  </property>
  <property fmtid="{D5CDD505-2E9C-101B-9397-08002B2CF9AE}" pid="15" name="docCliMat">
    <vt:lpwstr>006940-1337</vt:lpwstr>
  </property>
  <property fmtid="{D5CDD505-2E9C-101B-9397-08002B2CF9AE}" pid="16" name="_NewReviewCycle">
    <vt:lpwstr/>
  </property>
</Properties>
</file>